
<file path=[Content_Types].xml><?xml version="1.0" encoding="utf-8"?>
<Types xmlns="http://schemas.openxmlformats.org/package/2006/content-types">
  <Override PartName="/word/drawings/drawing6.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E2C" w:rsidRPr="009943EE" w:rsidRDefault="002B777C" w:rsidP="00453DF0">
      <w:pPr>
        <w:spacing w:after="0"/>
        <w:rPr>
          <w:i/>
          <w:sz w:val="36"/>
          <w:szCs w:val="36"/>
        </w:rPr>
      </w:pPr>
      <w:r>
        <w:rPr>
          <w:i/>
          <w:sz w:val="36"/>
          <w:szCs w:val="36"/>
        </w:rPr>
        <w:t>Won</w:t>
      </w:r>
      <w:r w:rsidR="00752E2C">
        <w:rPr>
          <w:i/>
          <w:sz w:val="36"/>
          <w:szCs w:val="36"/>
        </w:rPr>
        <w:t xml:space="preserve">ingmarkt </w:t>
      </w:r>
      <w:r w:rsidR="00C6559B">
        <w:rPr>
          <w:i/>
          <w:sz w:val="36"/>
          <w:szCs w:val="36"/>
        </w:rPr>
        <w:t>doorgaans</w:t>
      </w:r>
      <w:r w:rsidR="00752E2C">
        <w:rPr>
          <w:i/>
          <w:sz w:val="36"/>
          <w:szCs w:val="36"/>
        </w:rPr>
        <w:t xml:space="preserve"> te negatief belicht </w:t>
      </w:r>
    </w:p>
    <w:p w:rsidR="00923AEB" w:rsidRDefault="009943EE" w:rsidP="009943EE">
      <w:pPr>
        <w:spacing w:after="0"/>
      </w:pPr>
      <w:r w:rsidRPr="00F81C45">
        <w:t xml:space="preserve">De </w:t>
      </w:r>
      <w:r>
        <w:t>woningmarkt heeft het als gevolg van de naweeën van de economische crisis nog steeds moeilijk, dat valt niet te ontkennen. De aanscherping van de leenquote begin dit jaar deed er een extra schepje bovenop.</w:t>
      </w:r>
      <w:r w:rsidR="00752E2C">
        <w:t xml:space="preserve"> De lagere inkomensgroepen (veelal  starters) konden plotseling tot  € 30.000 minder financieren. De verlaagde overdrachtsbelasting per 1 juli 2011 heeft zeker voor extra transacties gezorgd, maar kon de verlaagde leenquote niet voldoende compenseren.  Naast deze zogenaamde “harde factoren”zijn het vooral  </w:t>
      </w:r>
      <w:r>
        <w:t xml:space="preserve">de meer </w:t>
      </w:r>
      <w:r w:rsidR="00752E2C">
        <w:t>“</w:t>
      </w:r>
      <w:r>
        <w:t>zachtere factoren</w:t>
      </w:r>
      <w:r w:rsidR="00752E2C">
        <w:t>”</w:t>
      </w:r>
      <w:r>
        <w:t>, zoals trends</w:t>
      </w:r>
      <w:r w:rsidR="00752E2C">
        <w:t xml:space="preserve"> en</w:t>
      </w:r>
      <w:r>
        <w:t xml:space="preserve"> opinies</w:t>
      </w:r>
      <w:r w:rsidR="002B5ED0">
        <w:t>,</w:t>
      </w:r>
      <w:r>
        <w:t xml:space="preserve">  </w:t>
      </w:r>
      <w:r w:rsidR="00752E2C">
        <w:t>die het consumentenvertrouwen bepalen</w:t>
      </w:r>
      <w:r>
        <w:t xml:space="preserve">. Dit laatste wordt </w:t>
      </w:r>
      <w:r w:rsidR="00923AEB">
        <w:t>gevoed</w:t>
      </w:r>
      <w:r>
        <w:t xml:space="preserve"> door berichten van economen en maatschappelijke organisaties en de manier waarop de media hiermee omspringen. </w:t>
      </w:r>
      <w:r w:rsidR="00923AEB">
        <w:t xml:space="preserve">Zo bezien </w:t>
      </w:r>
      <w:r>
        <w:t>lijkt het een koud kunstje om de woningmarkt het graf in te prijzen</w:t>
      </w:r>
      <w:r w:rsidR="00923AEB">
        <w:t xml:space="preserve"> en dat gebeurt dan ook met grote regelmaat</w:t>
      </w:r>
      <w:r>
        <w:t>.</w:t>
      </w:r>
      <w:r w:rsidR="005D1992">
        <w:t xml:space="preserve"> </w:t>
      </w:r>
      <w:r>
        <w:t>Positieve berichten scoren vrijwel niet. Het algemene belang, de economie en de werkgelegenheid in de sector boeien kennelijk evenmin.</w:t>
      </w:r>
      <w:r w:rsidR="005D1992">
        <w:t xml:space="preserve"> De woningmarkt verdient beter.</w:t>
      </w:r>
      <w:r>
        <w:t xml:space="preserve">  </w:t>
      </w:r>
    </w:p>
    <w:p w:rsidR="009943EE" w:rsidRDefault="009943EE" w:rsidP="009943EE">
      <w:pPr>
        <w:spacing w:after="0"/>
      </w:pPr>
      <w:r>
        <w:t xml:space="preserve">   </w:t>
      </w:r>
    </w:p>
    <w:p w:rsidR="000E1587" w:rsidRPr="000E1587" w:rsidRDefault="002B777C" w:rsidP="00453DF0">
      <w:pPr>
        <w:spacing w:after="0"/>
        <w:rPr>
          <w:b/>
        </w:rPr>
      </w:pPr>
      <w:r>
        <w:rPr>
          <w:b/>
        </w:rPr>
        <w:t xml:space="preserve">Resultaten afhankelijk van de gebruikte methode </w:t>
      </w:r>
    </w:p>
    <w:p w:rsidR="000F76AF" w:rsidRDefault="000E1587" w:rsidP="00453DF0">
      <w:pPr>
        <w:spacing w:after="0"/>
      </w:pPr>
      <w:r>
        <w:t>Het is waar</w:t>
      </w:r>
      <w:r w:rsidR="0046011C">
        <w:t>,</w:t>
      </w:r>
      <w:r w:rsidR="00353535">
        <w:t xml:space="preserve"> </w:t>
      </w:r>
      <w:r>
        <w:t xml:space="preserve">de maandberichten over de huizenprijzen van het CBS </w:t>
      </w:r>
      <w:r w:rsidR="002C5248">
        <w:t>spreken</w:t>
      </w:r>
      <w:r w:rsidR="0046011C">
        <w:t xml:space="preserve"> </w:t>
      </w:r>
      <w:r w:rsidR="000F76AF">
        <w:t xml:space="preserve">de laatste twee jaar uitsluitend </w:t>
      </w:r>
      <w:r w:rsidR="002C5248">
        <w:t xml:space="preserve">over </w:t>
      </w:r>
      <w:r>
        <w:t xml:space="preserve">een </w:t>
      </w:r>
      <w:r w:rsidR="002C5248">
        <w:t>prijsdaling</w:t>
      </w:r>
      <w:r>
        <w:t>. Het gaat dan niet</w:t>
      </w:r>
      <w:r w:rsidR="00C12324">
        <w:t>,</w:t>
      </w:r>
      <w:r>
        <w:t xml:space="preserve"> </w:t>
      </w:r>
      <w:r w:rsidR="00353535">
        <w:t>zoals wordt gesuggereerd</w:t>
      </w:r>
      <w:r w:rsidR="00C12324">
        <w:t>,</w:t>
      </w:r>
      <w:r w:rsidR="00353535">
        <w:t xml:space="preserve"> </w:t>
      </w:r>
      <w:r>
        <w:t>om de absolute koopsomgegevens zoals het Kadaster die ook beschikbaar heeft</w:t>
      </w:r>
      <w:r w:rsidR="00794D7E">
        <w:t>,</w:t>
      </w:r>
      <w:r>
        <w:t xml:space="preserve"> maar over de </w:t>
      </w:r>
      <w:r w:rsidR="0046011C">
        <w:t>Prijsindex Bestaande Koopwoningen</w:t>
      </w:r>
      <w:r w:rsidR="000F76AF">
        <w:t xml:space="preserve"> (PBK)</w:t>
      </w:r>
      <w:r>
        <w:t xml:space="preserve">. In </w:t>
      </w:r>
      <w:r w:rsidR="0046011C">
        <w:t xml:space="preserve">deze </w:t>
      </w:r>
      <w:r>
        <w:t xml:space="preserve">index wordt naast </w:t>
      </w:r>
      <w:r w:rsidR="00794D7E">
        <w:t xml:space="preserve">de </w:t>
      </w:r>
      <w:r>
        <w:t>gemiddelde koopsom</w:t>
      </w:r>
      <w:r w:rsidR="00E52E2F">
        <w:t xml:space="preserve"> en</w:t>
      </w:r>
      <w:r>
        <w:t xml:space="preserve"> </w:t>
      </w:r>
      <w:r w:rsidR="00794D7E">
        <w:t xml:space="preserve">het </w:t>
      </w:r>
      <w:r>
        <w:t xml:space="preserve">aantal transacties per woningtype eveneens rekening gehouden met de WOZ waarde van de verkochte woningen. </w:t>
      </w:r>
      <w:r w:rsidR="00794D7E">
        <w:t xml:space="preserve">Met de </w:t>
      </w:r>
      <w:r w:rsidR="00107289">
        <w:t xml:space="preserve">index </w:t>
      </w:r>
      <w:r w:rsidR="000F76AF">
        <w:t>moet</w:t>
      </w:r>
      <w:r w:rsidR="00AE4693">
        <w:t xml:space="preserve"> </w:t>
      </w:r>
      <w:r w:rsidR="00107289">
        <w:t xml:space="preserve"> een </w:t>
      </w:r>
      <w:r w:rsidR="00AE4693">
        <w:t xml:space="preserve">meer </w:t>
      </w:r>
      <w:r w:rsidR="00107289">
        <w:t>evenwichtig beeld over de waardeontwikkeling van woningen</w:t>
      </w:r>
      <w:r w:rsidR="00AE4693">
        <w:t xml:space="preserve"> ontstaan</w:t>
      </w:r>
      <w:r w:rsidR="00107289">
        <w:t xml:space="preserve">. </w:t>
      </w:r>
      <w:r>
        <w:t xml:space="preserve"> Op zich is dat een goede zaak, er worden immers telkens andere woningen verkocht en een fors verschil in samenstelling naar woningtypen kan, zeker op maandbasis,  tot grote verschuivingen leiden.</w:t>
      </w:r>
      <w:r w:rsidR="00055200">
        <w:t xml:space="preserve"> De gemiddelde koopsom in absolute zin is een optelsom van alle koopsommen, gedeeld door het aantal transacties. </w:t>
      </w:r>
      <w:r w:rsidR="002B777C">
        <w:t xml:space="preserve">Ook </w:t>
      </w:r>
      <w:r w:rsidR="00055200">
        <w:t xml:space="preserve"> </w:t>
      </w:r>
      <w:r w:rsidR="002B777C">
        <w:t>h</w:t>
      </w:r>
      <w:r w:rsidR="00055200">
        <w:t xml:space="preserve">ier moet worden bedacht dat er telkens andere woningen worden verkocht, zodat een 100% vergelijking per definitie niet opgaat. Woningen worden na aankoop veelvuldig verbouwd, wanneer deze na enkele jaren opnieuw op de markt verschijnen, vervuilen deze de systematiek. Als er in de duurdere provincies meer woningen worden verkocht, gaat het prijsgemiddelde omhoog, gebeurt dat in de goedkopere provincies dan zien we een dalend effect.  </w:t>
      </w:r>
      <w:r w:rsidR="007A0CE5">
        <w:t xml:space="preserve">Niettemin bieden de absolute cijfers </w:t>
      </w:r>
      <w:r>
        <w:t xml:space="preserve"> op langere termijn (kwartaal</w:t>
      </w:r>
      <w:r w:rsidR="00186874">
        <w:t>-</w:t>
      </w:r>
      <w:r>
        <w:t xml:space="preserve"> of jaarbasis) </w:t>
      </w:r>
      <w:r w:rsidR="007A0CE5">
        <w:t xml:space="preserve">ons inziens </w:t>
      </w:r>
      <w:r w:rsidR="005D4C22">
        <w:t xml:space="preserve">meer dan voldoende </w:t>
      </w:r>
      <w:r>
        <w:t>houvast als marktindicator.</w:t>
      </w:r>
      <w:r w:rsidR="007945FF">
        <w:t xml:space="preserve"> </w:t>
      </w:r>
      <w:r w:rsidR="002B777C">
        <w:t xml:space="preserve">Daarnaast kennen we nog de kwartaalberichten van de NVM. De NVM publiceert mediaanprijzen, die zijn gebaseerd op de verkoop van de bij de NVM aangesloten makelaars (ca. 75% marktaandeel). De meting vindt plats op het moment van ondertekening van de koopakte bij de makelaar, op dit punt hebben de NVM  cijfers  een kwartaal voorsprong op de cijfers van het CBS en het Kadaster.  </w:t>
      </w:r>
    </w:p>
    <w:p w:rsidR="000F76AF" w:rsidRDefault="000F76AF" w:rsidP="00453DF0">
      <w:pPr>
        <w:spacing w:after="0"/>
      </w:pPr>
    </w:p>
    <w:p w:rsidR="00692E95" w:rsidRDefault="00692E95" w:rsidP="00453DF0">
      <w:pPr>
        <w:spacing w:after="0"/>
      </w:pPr>
      <w:r w:rsidRPr="00692E95">
        <w:rPr>
          <w:noProof/>
          <w:lang w:eastAsia="nl-NL"/>
        </w:rPr>
        <w:lastRenderedPageBreak/>
        <w:drawing>
          <wp:inline distT="0" distB="0" distL="0" distR="0">
            <wp:extent cx="6372225" cy="3257550"/>
            <wp:effectExtent l="19050" t="0" r="9525" b="0"/>
            <wp:docPr id="15" name="Grafie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692E95" w:rsidRDefault="00692E95" w:rsidP="00453DF0">
      <w:pPr>
        <w:spacing w:after="0"/>
      </w:pPr>
    </w:p>
    <w:p w:rsidR="00692E95" w:rsidRDefault="00692E95" w:rsidP="00453DF0">
      <w:pPr>
        <w:spacing w:after="0"/>
      </w:pPr>
    </w:p>
    <w:p w:rsidR="00692E95" w:rsidRDefault="00692E95" w:rsidP="00453DF0">
      <w:pPr>
        <w:spacing w:after="0"/>
      </w:pPr>
    </w:p>
    <w:p w:rsidR="000F76AF" w:rsidRPr="000F76AF" w:rsidRDefault="002B777C" w:rsidP="00453DF0">
      <w:pPr>
        <w:spacing w:after="0"/>
        <w:rPr>
          <w:b/>
        </w:rPr>
      </w:pPr>
      <w:r w:rsidRPr="000E1587">
        <w:rPr>
          <w:b/>
        </w:rPr>
        <w:t xml:space="preserve">De </w:t>
      </w:r>
      <w:r>
        <w:rPr>
          <w:b/>
        </w:rPr>
        <w:t xml:space="preserve">ware </w:t>
      </w:r>
      <w:r w:rsidRPr="000E1587">
        <w:rPr>
          <w:b/>
        </w:rPr>
        <w:t xml:space="preserve">feiten over de </w:t>
      </w:r>
      <w:r>
        <w:rPr>
          <w:b/>
        </w:rPr>
        <w:t>huizenprijzen</w:t>
      </w:r>
      <w:r w:rsidRPr="000F76AF">
        <w:rPr>
          <w:b/>
        </w:rPr>
        <w:t xml:space="preserve"> </w:t>
      </w:r>
      <w:r>
        <w:rPr>
          <w:b/>
        </w:rPr>
        <w:t xml:space="preserve">      </w:t>
      </w:r>
    </w:p>
    <w:p w:rsidR="00D11CAF" w:rsidRDefault="000F76AF" w:rsidP="00453DF0">
      <w:pPr>
        <w:spacing w:after="0"/>
      </w:pPr>
      <w:r>
        <w:t>Als we de ontwikkelingen van de PBK index en de absolute koopsom op maandbasis vergelijken zien we steeds groter</w:t>
      </w:r>
      <w:r w:rsidR="00B455FD">
        <w:t>e</w:t>
      </w:r>
      <w:r>
        <w:t xml:space="preserve"> verschil</w:t>
      </w:r>
      <w:r w:rsidR="00B455FD">
        <w:t>len</w:t>
      </w:r>
      <w:r>
        <w:t xml:space="preserve"> ontstaan. </w:t>
      </w:r>
      <w:r w:rsidR="00B455FD">
        <w:t xml:space="preserve"> De schommelingen  van de absolute koopsom </w:t>
      </w:r>
      <w:r w:rsidR="00353535">
        <w:t xml:space="preserve">op maandbasis </w:t>
      </w:r>
      <w:r w:rsidR="00B455FD">
        <w:t>maakt duidelijk dat met deze methode geen objectieve analyse mogelijk is. Op kwartaal- en jaarbasis bieden de ontwikkelingen wel voldoende houvast, evenals een 6 maandelijks voor</w:t>
      </w:r>
      <w:r w:rsidR="002B5ED0">
        <w:t>t</w:t>
      </w:r>
      <w:r w:rsidR="00B455FD">
        <w:t xml:space="preserve">schrijdend gemiddelde, </w:t>
      </w:r>
      <w:r w:rsidR="007A0CE5">
        <w:t xml:space="preserve">zoals </w:t>
      </w:r>
      <w:r w:rsidR="00B455FD">
        <w:t xml:space="preserve">in de grafiek </w:t>
      </w:r>
      <w:r w:rsidR="007A0CE5">
        <w:t>is</w:t>
      </w:r>
      <w:r w:rsidR="00B455FD">
        <w:t xml:space="preserve"> toegepast. Op jaarbasis zien we dat in 2010 de gemiddelde koopsom met 0,5% is gestegen ten opzichte van 2009 en dat gemiddelde koopsom </w:t>
      </w:r>
      <w:r w:rsidR="00353535">
        <w:t xml:space="preserve">in 2011 </w:t>
      </w:r>
      <w:r w:rsidR="00B455FD">
        <w:t>met € 24</w:t>
      </w:r>
      <w:r w:rsidR="00392970">
        <w:t>0.100</w:t>
      </w:r>
      <w:r w:rsidR="00B455FD">
        <w:t xml:space="preserve"> </w:t>
      </w:r>
      <w:r w:rsidR="00392970">
        <w:t>0,2</w:t>
      </w:r>
      <w:r w:rsidR="00B455FD">
        <w:t xml:space="preserve">% boven het niveau van 2010 </w:t>
      </w:r>
      <w:r w:rsidR="00392970">
        <w:t>uitkomt</w:t>
      </w:r>
      <w:r w:rsidR="00B455FD">
        <w:t xml:space="preserve">. </w:t>
      </w:r>
      <w:r w:rsidR="007A0CE5">
        <w:t>De PBK index gaat</w:t>
      </w:r>
      <w:r w:rsidR="002B5ED0">
        <w:t>,</w:t>
      </w:r>
      <w:r w:rsidR="007A0CE5">
        <w:t xml:space="preserve"> op een paar maanden na, voortdurend naar beneden.</w:t>
      </w:r>
      <w:r w:rsidR="00C12324">
        <w:t xml:space="preserve"> Of die grote afwijking terecht is valt niet geheel te verklaren</w:t>
      </w:r>
      <w:r w:rsidR="007A0CE5">
        <w:t xml:space="preserve">. </w:t>
      </w:r>
      <w:r w:rsidR="00583823">
        <w:t xml:space="preserve"> Allereerst is gekeken naar de prijsontwikkelingen per woningtype. In de tabel is te zien dat </w:t>
      </w:r>
      <w:r w:rsidR="00353535">
        <w:t xml:space="preserve">half- en vrijstaande </w:t>
      </w:r>
      <w:r w:rsidR="00583823">
        <w:t>woning</w:t>
      </w:r>
      <w:r w:rsidR="00353535">
        <w:t>en in prijs zijn gestegen</w:t>
      </w:r>
      <w:r w:rsidR="00583823">
        <w:t xml:space="preserve">. Vervolgens is gekeken naar het marktaandeel per woningtype. Dit onderzoek laat een toename zien van de verkoop van vrijstaande woningen, in feite een herstel van de ontwikkelingen in </w:t>
      </w:r>
      <w:r w:rsidR="00353535">
        <w:t>voorgaande jaren</w:t>
      </w:r>
      <w:r w:rsidR="00583823">
        <w:t xml:space="preserve">. De impact op de gemiddelde woningprijs als geheel is zeer </w:t>
      </w:r>
      <w:r w:rsidR="007A0CE5">
        <w:t>beperkt</w:t>
      </w:r>
      <w:r w:rsidR="00583823">
        <w:t xml:space="preserve">. </w:t>
      </w:r>
      <w:r w:rsidR="007A0CE5">
        <w:t xml:space="preserve">Bovendien </w:t>
      </w:r>
      <w:r w:rsidR="00583823">
        <w:t xml:space="preserve">is gekeken naar de verhouding per provincie.  Deze doorrekening zorgde </w:t>
      </w:r>
      <w:r w:rsidR="007A0CE5">
        <w:t xml:space="preserve">eveneens </w:t>
      </w:r>
      <w:r w:rsidR="00583823">
        <w:t xml:space="preserve">slechts voor een geringe afwijking in prijsgemiddelde. Als we beide effecten (transacties per woningtype en per provincie) neutraliseren, levert dit een verschil in gemiddelde prijs op van </w:t>
      </w:r>
      <w:r w:rsidR="00D11CAF">
        <w:t xml:space="preserve">ongeveer </w:t>
      </w:r>
      <w:r w:rsidR="00583823">
        <w:t xml:space="preserve">€ 1.000. </w:t>
      </w:r>
      <w:r w:rsidR="00D11CAF">
        <w:t xml:space="preserve">Tenslotte is gekeken naar het koopgedrag naar leeftijd. In 2011 nam het aantal kopers in de leeftijd tot 25 jaar af met ruim 20%. Deze groep betaalt gemiddeld € 175.000 voor een koopwoning. Het feit dat de groep jongere starters, vermoedelijk vanwege het </w:t>
      </w:r>
      <w:proofErr w:type="spellStart"/>
      <w:r w:rsidR="00D11CAF">
        <w:t>leenquote-effect</w:t>
      </w:r>
      <w:proofErr w:type="spellEnd"/>
      <w:r w:rsidR="00D11CAF">
        <w:t>, minder actief is geweest</w:t>
      </w:r>
      <w:r w:rsidR="002B5ED0">
        <w:t>,</w:t>
      </w:r>
      <w:r w:rsidR="00D11CAF">
        <w:t xml:space="preserve"> levert eveneens een prijsverhogend effect.  De hiervoor genoemde elementen zorgde</w:t>
      </w:r>
      <w:r w:rsidR="002B5ED0">
        <w:t>n</w:t>
      </w:r>
      <w:r w:rsidR="00D11CAF">
        <w:t xml:space="preserve"> in 2009 juist voor het omgekeerde effect.  De daling van de verkoop van duurdere woningen</w:t>
      </w:r>
      <w:r w:rsidR="002B5ED0">
        <w:t xml:space="preserve"> en</w:t>
      </w:r>
      <w:r w:rsidR="00D11CAF">
        <w:t xml:space="preserve"> meer jongere kopers waren destijds in belangrijke mate verantwoordelijk voor de daling van de gemiddelde koopsom.    </w:t>
      </w:r>
    </w:p>
    <w:p w:rsidR="00D11CAF" w:rsidRDefault="00D11CAF" w:rsidP="00453DF0">
      <w:pPr>
        <w:spacing w:after="0"/>
      </w:pPr>
    </w:p>
    <w:p w:rsidR="001473A4" w:rsidRDefault="001473A4" w:rsidP="00453DF0">
      <w:pPr>
        <w:spacing w:after="0"/>
      </w:pPr>
    </w:p>
    <w:tbl>
      <w:tblPr>
        <w:tblStyle w:val="Tabelraster"/>
        <w:tblW w:w="0" w:type="auto"/>
        <w:tblLook w:val="04A0"/>
      </w:tblPr>
      <w:tblGrid>
        <w:gridCol w:w="9212"/>
      </w:tblGrid>
      <w:tr w:rsidR="00096443" w:rsidRPr="00096443" w:rsidTr="00096443">
        <w:tc>
          <w:tcPr>
            <w:tcW w:w="9212" w:type="dxa"/>
          </w:tcPr>
          <w:p w:rsidR="00096443" w:rsidRPr="0063419F" w:rsidRDefault="00096443" w:rsidP="001473A4">
            <w:pPr>
              <w:rPr>
                <w:sz w:val="20"/>
                <w:szCs w:val="20"/>
              </w:rPr>
            </w:pPr>
            <w:r w:rsidRPr="0063419F">
              <w:rPr>
                <w:sz w:val="20"/>
                <w:szCs w:val="20"/>
              </w:rPr>
              <w:lastRenderedPageBreak/>
              <w:t>Gemiddelde koopsom alle verkochte woningen (bron: het Kadaster)</w:t>
            </w:r>
          </w:p>
        </w:tc>
      </w:tr>
      <w:tr w:rsidR="00096443" w:rsidRPr="00096443" w:rsidTr="00096443">
        <w:tc>
          <w:tcPr>
            <w:tcW w:w="9212" w:type="dxa"/>
          </w:tcPr>
          <w:p w:rsidR="00096443" w:rsidRPr="00096443" w:rsidRDefault="00096443" w:rsidP="001473A4"/>
        </w:tc>
      </w:tr>
      <w:tr w:rsidR="00096443" w:rsidRPr="00096443" w:rsidTr="00096443">
        <w:tc>
          <w:tcPr>
            <w:tcW w:w="9212" w:type="dxa"/>
          </w:tcPr>
          <w:p w:rsidR="00096443" w:rsidRPr="00096443" w:rsidRDefault="00096443" w:rsidP="00392970">
            <w:r w:rsidRPr="00096443">
              <w:t xml:space="preserve">Jaar </w:t>
            </w:r>
            <w:r w:rsidRPr="00096443">
              <w:tab/>
            </w:r>
            <w:r w:rsidRPr="00096443">
              <w:tab/>
              <w:t>2009</w:t>
            </w:r>
            <w:r w:rsidRPr="00096443">
              <w:tab/>
            </w:r>
            <w:r w:rsidRPr="00096443">
              <w:tab/>
              <w:t>2010</w:t>
            </w:r>
            <w:r w:rsidRPr="00096443">
              <w:tab/>
              <w:t xml:space="preserve">       ontwikkeling   </w:t>
            </w:r>
            <w:r w:rsidRPr="00096443">
              <w:tab/>
              <w:t xml:space="preserve">2011 </w:t>
            </w:r>
            <w:r w:rsidR="00392970">
              <w:t xml:space="preserve">        </w:t>
            </w:r>
            <w:r w:rsidRPr="00096443">
              <w:t xml:space="preserve">            ontwikkeling </w:t>
            </w:r>
          </w:p>
        </w:tc>
      </w:tr>
      <w:tr w:rsidR="00096443" w:rsidRPr="00096443" w:rsidTr="00096443">
        <w:tc>
          <w:tcPr>
            <w:tcW w:w="9212" w:type="dxa"/>
          </w:tcPr>
          <w:p w:rsidR="00096443" w:rsidRPr="00096443" w:rsidRDefault="00096443" w:rsidP="00392970">
            <w:r w:rsidRPr="00096443">
              <w:t xml:space="preserve">Koopsom </w:t>
            </w:r>
            <w:r w:rsidRPr="00096443">
              <w:tab/>
              <w:t>€ 238.300</w:t>
            </w:r>
            <w:r w:rsidRPr="00096443">
              <w:tab/>
              <w:t>239.500</w:t>
            </w:r>
            <w:r w:rsidRPr="00096443">
              <w:tab/>
              <w:t>+ 0,5%</w:t>
            </w:r>
            <w:r w:rsidRPr="00096443">
              <w:tab/>
            </w:r>
            <w:r w:rsidRPr="00096443">
              <w:tab/>
              <w:t>24</w:t>
            </w:r>
            <w:r w:rsidR="00392970">
              <w:t>0</w:t>
            </w:r>
            <w:r w:rsidRPr="00096443">
              <w:t>.</w:t>
            </w:r>
            <w:r w:rsidR="00392970">
              <w:t>1</w:t>
            </w:r>
            <w:r w:rsidRPr="00096443">
              <w:t>00</w:t>
            </w:r>
            <w:r w:rsidRPr="00096443">
              <w:tab/>
            </w:r>
            <w:r w:rsidRPr="00096443">
              <w:tab/>
              <w:t xml:space="preserve">+ </w:t>
            </w:r>
            <w:r w:rsidR="00CD248C">
              <w:t>0,</w:t>
            </w:r>
            <w:r w:rsidR="00392970">
              <w:t>2</w:t>
            </w:r>
            <w:r w:rsidRPr="00096443">
              <w:t xml:space="preserve">% </w:t>
            </w:r>
          </w:p>
        </w:tc>
      </w:tr>
    </w:tbl>
    <w:p w:rsidR="007945FF" w:rsidRDefault="007945FF" w:rsidP="00453DF0">
      <w:pPr>
        <w:spacing w:after="0"/>
      </w:pPr>
    </w:p>
    <w:p w:rsidR="00186874" w:rsidRPr="00262D48" w:rsidRDefault="00353421" w:rsidP="001473A4">
      <w:pPr>
        <w:spacing w:after="0"/>
        <w:rPr>
          <w:b/>
        </w:rPr>
      </w:pPr>
      <w:r w:rsidRPr="00262D48">
        <w:rPr>
          <w:b/>
        </w:rPr>
        <w:t xml:space="preserve">Vooral de vrijstaande en 2/1 kapwoningen </w:t>
      </w:r>
      <w:r w:rsidR="001473A4" w:rsidRPr="00262D48">
        <w:rPr>
          <w:b/>
        </w:rPr>
        <w:t xml:space="preserve">liggen </w:t>
      </w:r>
      <w:r w:rsidR="006F6A0A" w:rsidRPr="00262D48">
        <w:rPr>
          <w:b/>
        </w:rPr>
        <w:t xml:space="preserve">in 2011 </w:t>
      </w:r>
      <w:r w:rsidR="001473A4" w:rsidRPr="00262D48">
        <w:rPr>
          <w:b/>
        </w:rPr>
        <w:t xml:space="preserve">hoger in prijs  </w:t>
      </w:r>
    </w:p>
    <w:tbl>
      <w:tblPr>
        <w:tblW w:w="0" w:type="auto"/>
        <w:tblCellSpacing w:w="15" w:type="dxa"/>
        <w:tblCellMar>
          <w:top w:w="15" w:type="dxa"/>
          <w:left w:w="15" w:type="dxa"/>
          <w:bottom w:w="15" w:type="dxa"/>
          <w:right w:w="15" w:type="dxa"/>
        </w:tblCellMar>
        <w:tblLook w:val="04A0"/>
      </w:tblPr>
      <w:tblGrid>
        <w:gridCol w:w="81"/>
        <w:gridCol w:w="66"/>
        <w:gridCol w:w="2174"/>
        <w:gridCol w:w="1020"/>
        <w:gridCol w:w="1080"/>
        <w:gridCol w:w="1140"/>
        <w:gridCol w:w="1155"/>
      </w:tblGrid>
      <w:tr w:rsidR="007A2C96" w:rsidRPr="000A5B0F" w:rsidTr="00262D48">
        <w:trPr>
          <w:tblCellSpacing w:w="15" w:type="dxa"/>
        </w:trPr>
        <w:tc>
          <w:tcPr>
            <w:tcW w:w="0" w:type="auto"/>
            <w:vAlign w:val="center"/>
            <w:hideMark/>
          </w:tcPr>
          <w:p w:rsidR="00AE3FAC" w:rsidRPr="000A5B0F" w:rsidRDefault="00AE3FAC" w:rsidP="00353421">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AE3FAC" w:rsidRPr="000A5B0F" w:rsidRDefault="00AE3FAC" w:rsidP="00AE3FAC">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AE3FAC" w:rsidRPr="000A5B0F" w:rsidRDefault="00353421" w:rsidP="0035342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Gemiddelde koopsom </w:t>
            </w:r>
          </w:p>
        </w:tc>
        <w:tc>
          <w:tcPr>
            <w:tcW w:w="990" w:type="dxa"/>
            <w:vAlign w:val="center"/>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2008</w:t>
            </w:r>
          </w:p>
        </w:tc>
        <w:tc>
          <w:tcPr>
            <w:tcW w:w="1050" w:type="dxa"/>
            <w:vAlign w:val="center"/>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2009</w:t>
            </w:r>
          </w:p>
        </w:tc>
        <w:tc>
          <w:tcPr>
            <w:tcW w:w="1110" w:type="dxa"/>
            <w:vAlign w:val="center"/>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2010</w:t>
            </w:r>
          </w:p>
        </w:tc>
        <w:tc>
          <w:tcPr>
            <w:tcW w:w="1110" w:type="dxa"/>
            <w:vAlign w:val="center"/>
            <w:hideMark/>
          </w:tcPr>
          <w:p w:rsidR="00AE3FAC" w:rsidRPr="000A5B0F" w:rsidRDefault="00AE3FAC" w:rsidP="00F151A4">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2011</w:t>
            </w:r>
          </w:p>
        </w:tc>
      </w:tr>
      <w:tr w:rsidR="007A2C96" w:rsidRPr="000A5B0F" w:rsidTr="00AE3FAC">
        <w:trPr>
          <w:tblCellSpacing w:w="15" w:type="dxa"/>
        </w:trPr>
        <w:tc>
          <w:tcPr>
            <w:tcW w:w="0" w:type="auto"/>
            <w:vAlign w:val="center"/>
            <w:hideMark/>
          </w:tcPr>
          <w:p w:rsidR="00AE3FAC" w:rsidRPr="000A5B0F" w:rsidRDefault="00AE3FAC" w:rsidP="00AE3FAC">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AE3FAC" w:rsidRPr="000A5B0F" w:rsidRDefault="00AE3FAC" w:rsidP="00AE3FAC">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AE3FAC" w:rsidRPr="000A5B0F" w:rsidRDefault="00AE3FAC" w:rsidP="00AE3FAC">
            <w:pPr>
              <w:spacing w:after="0" w:line="240" w:lineRule="auto"/>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2/1 kapwoning</w:t>
            </w:r>
          </w:p>
        </w:tc>
        <w:tc>
          <w:tcPr>
            <w:tcW w:w="0" w:type="auto"/>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0A5B0F">
              <w:rPr>
                <w:rFonts w:ascii="Times New Roman" w:eastAsia="Times New Roman" w:hAnsi="Times New Roman" w:cs="Times New Roman"/>
                <w:sz w:val="24"/>
                <w:szCs w:val="24"/>
                <w:lang w:eastAsia="nl-NL"/>
              </w:rPr>
              <w:t>294.737</w:t>
            </w:r>
          </w:p>
        </w:tc>
        <w:tc>
          <w:tcPr>
            <w:tcW w:w="0" w:type="auto"/>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0A5B0F">
              <w:rPr>
                <w:rFonts w:ascii="Times New Roman" w:eastAsia="Times New Roman" w:hAnsi="Times New Roman" w:cs="Times New Roman"/>
                <w:sz w:val="24"/>
                <w:szCs w:val="24"/>
                <w:lang w:eastAsia="nl-NL"/>
              </w:rPr>
              <w:t>270.606</w:t>
            </w:r>
          </w:p>
        </w:tc>
        <w:tc>
          <w:tcPr>
            <w:tcW w:w="0" w:type="auto"/>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0A5B0F">
              <w:rPr>
                <w:rFonts w:ascii="Times New Roman" w:eastAsia="Times New Roman" w:hAnsi="Times New Roman" w:cs="Times New Roman"/>
                <w:sz w:val="24"/>
                <w:szCs w:val="24"/>
                <w:lang w:eastAsia="nl-NL"/>
              </w:rPr>
              <w:t>271.991</w:t>
            </w:r>
          </w:p>
        </w:tc>
        <w:tc>
          <w:tcPr>
            <w:tcW w:w="0" w:type="auto"/>
            <w:hideMark/>
          </w:tcPr>
          <w:p w:rsidR="00AE3FAC" w:rsidRPr="000A5B0F" w:rsidRDefault="00AE3FAC" w:rsidP="00F151A4">
            <w:pPr>
              <w:spacing w:after="0" w:line="240" w:lineRule="auto"/>
              <w:jc w:val="right"/>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0A5B0F">
              <w:rPr>
                <w:rFonts w:ascii="Times New Roman" w:eastAsia="Times New Roman" w:hAnsi="Times New Roman" w:cs="Times New Roman"/>
                <w:sz w:val="24"/>
                <w:szCs w:val="24"/>
                <w:lang w:eastAsia="nl-NL"/>
              </w:rPr>
              <w:t>27</w:t>
            </w:r>
            <w:r w:rsidR="00F151A4">
              <w:rPr>
                <w:rFonts w:ascii="Times New Roman" w:eastAsia="Times New Roman" w:hAnsi="Times New Roman" w:cs="Times New Roman"/>
                <w:sz w:val="24"/>
                <w:szCs w:val="24"/>
                <w:lang w:eastAsia="nl-NL"/>
              </w:rPr>
              <w:t>4</w:t>
            </w:r>
            <w:r w:rsidRPr="000A5B0F">
              <w:rPr>
                <w:rFonts w:ascii="Times New Roman" w:eastAsia="Times New Roman" w:hAnsi="Times New Roman" w:cs="Times New Roman"/>
                <w:sz w:val="24"/>
                <w:szCs w:val="24"/>
                <w:lang w:eastAsia="nl-NL"/>
              </w:rPr>
              <w:t>.</w:t>
            </w:r>
            <w:r w:rsidR="00F151A4">
              <w:rPr>
                <w:rFonts w:ascii="Times New Roman" w:eastAsia="Times New Roman" w:hAnsi="Times New Roman" w:cs="Times New Roman"/>
                <w:sz w:val="24"/>
                <w:szCs w:val="24"/>
                <w:lang w:eastAsia="nl-NL"/>
              </w:rPr>
              <w:t>3</w:t>
            </w:r>
            <w:r w:rsidRPr="000A5B0F">
              <w:rPr>
                <w:rFonts w:ascii="Times New Roman" w:eastAsia="Times New Roman" w:hAnsi="Times New Roman" w:cs="Times New Roman"/>
                <w:sz w:val="24"/>
                <w:szCs w:val="24"/>
                <w:lang w:eastAsia="nl-NL"/>
              </w:rPr>
              <w:t>00</w:t>
            </w:r>
          </w:p>
        </w:tc>
      </w:tr>
      <w:tr w:rsidR="007A2C96" w:rsidRPr="000A5B0F" w:rsidTr="00AE3FAC">
        <w:trPr>
          <w:tblCellSpacing w:w="15" w:type="dxa"/>
        </w:trPr>
        <w:tc>
          <w:tcPr>
            <w:tcW w:w="0" w:type="auto"/>
            <w:vAlign w:val="center"/>
            <w:hideMark/>
          </w:tcPr>
          <w:p w:rsidR="00AE3FAC" w:rsidRPr="000A5B0F" w:rsidRDefault="00AE3FAC" w:rsidP="00AE3FAC">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AE3FAC" w:rsidRPr="000A5B0F" w:rsidRDefault="00AE3FAC" w:rsidP="00AE3FAC">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AE3FAC" w:rsidRPr="000A5B0F" w:rsidRDefault="00AE3FAC" w:rsidP="00AE3FAC">
            <w:pPr>
              <w:spacing w:after="0" w:line="240" w:lineRule="auto"/>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Appartement</w:t>
            </w:r>
          </w:p>
        </w:tc>
        <w:tc>
          <w:tcPr>
            <w:tcW w:w="0" w:type="auto"/>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195.121</w:t>
            </w:r>
          </w:p>
        </w:tc>
        <w:tc>
          <w:tcPr>
            <w:tcW w:w="0" w:type="auto"/>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186.370</w:t>
            </w:r>
          </w:p>
        </w:tc>
        <w:tc>
          <w:tcPr>
            <w:tcW w:w="0" w:type="auto"/>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189.543</w:t>
            </w:r>
          </w:p>
        </w:tc>
        <w:tc>
          <w:tcPr>
            <w:tcW w:w="0" w:type="auto"/>
            <w:hideMark/>
          </w:tcPr>
          <w:p w:rsidR="00AE3FAC" w:rsidRPr="000A5B0F" w:rsidRDefault="00AE3FAC" w:rsidP="00F151A4">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1</w:t>
            </w:r>
            <w:r w:rsidR="00F151A4">
              <w:rPr>
                <w:rFonts w:ascii="Times New Roman" w:eastAsia="Times New Roman" w:hAnsi="Times New Roman" w:cs="Times New Roman"/>
                <w:sz w:val="24"/>
                <w:szCs w:val="24"/>
                <w:lang w:eastAsia="nl-NL"/>
              </w:rPr>
              <w:t>8</w:t>
            </w:r>
            <w:r w:rsidRPr="000A5B0F">
              <w:rPr>
                <w:rFonts w:ascii="Times New Roman" w:eastAsia="Times New Roman" w:hAnsi="Times New Roman" w:cs="Times New Roman"/>
                <w:sz w:val="24"/>
                <w:szCs w:val="24"/>
                <w:lang w:eastAsia="nl-NL"/>
              </w:rPr>
              <w:t>9.</w:t>
            </w:r>
            <w:r w:rsidR="00F151A4">
              <w:rPr>
                <w:rFonts w:ascii="Times New Roman" w:eastAsia="Times New Roman" w:hAnsi="Times New Roman" w:cs="Times New Roman"/>
                <w:sz w:val="24"/>
                <w:szCs w:val="24"/>
                <w:lang w:eastAsia="nl-NL"/>
              </w:rPr>
              <w:t>400</w:t>
            </w:r>
          </w:p>
        </w:tc>
      </w:tr>
      <w:tr w:rsidR="007A2C96" w:rsidRPr="000A5B0F" w:rsidTr="00AE3FAC">
        <w:trPr>
          <w:tblCellSpacing w:w="15" w:type="dxa"/>
        </w:trPr>
        <w:tc>
          <w:tcPr>
            <w:tcW w:w="0" w:type="auto"/>
            <w:vAlign w:val="center"/>
            <w:hideMark/>
          </w:tcPr>
          <w:p w:rsidR="00AE3FAC" w:rsidRPr="000A5B0F" w:rsidRDefault="00AE3FAC" w:rsidP="00AE3FAC">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AE3FAC" w:rsidRPr="000A5B0F" w:rsidRDefault="00AE3FAC" w:rsidP="00AE3FAC">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AE3FAC" w:rsidRPr="000A5B0F" w:rsidRDefault="00AE3FAC" w:rsidP="00AE3FAC">
            <w:pPr>
              <w:spacing w:after="0" w:line="240" w:lineRule="auto"/>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Hoekwoning</w:t>
            </w:r>
          </w:p>
        </w:tc>
        <w:tc>
          <w:tcPr>
            <w:tcW w:w="0" w:type="auto"/>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248.318</w:t>
            </w:r>
          </w:p>
        </w:tc>
        <w:tc>
          <w:tcPr>
            <w:tcW w:w="0" w:type="auto"/>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233.981</w:t>
            </w:r>
          </w:p>
        </w:tc>
        <w:tc>
          <w:tcPr>
            <w:tcW w:w="0" w:type="auto"/>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235.424</w:t>
            </w:r>
          </w:p>
        </w:tc>
        <w:tc>
          <w:tcPr>
            <w:tcW w:w="0" w:type="auto"/>
            <w:hideMark/>
          </w:tcPr>
          <w:p w:rsidR="00AE3FAC" w:rsidRPr="000A5B0F" w:rsidRDefault="00AE3FAC" w:rsidP="00F151A4">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23</w:t>
            </w:r>
            <w:r w:rsidR="00F151A4">
              <w:rPr>
                <w:rFonts w:ascii="Times New Roman" w:eastAsia="Times New Roman" w:hAnsi="Times New Roman" w:cs="Times New Roman"/>
                <w:sz w:val="24"/>
                <w:szCs w:val="24"/>
                <w:lang w:eastAsia="nl-NL"/>
              </w:rPr>
              <w:t>2</w:t>
            </w:r>
            <w:r w:rsidRPr="000A5B0F">
              <w:rPr>
                <w:rFonts w:ascii="Times New Roman" w:eastAsia="Times New Roman" w:hAnsi="Times New Roman" w:cs="Times New Roman"/>
                <w:sz w:val="24"/>
                <w:szCs w:val="24"/>
                <w:lang w:eastAsia="nl-NL"/>
              </w:rPr>
              <w:t>.</w:t>
            </w:r>
            <w:r w:rsidR="00F151A4">
              <w:rPr>
                <w:rFonts w:ascii="Times New Roman" w:eastAsia="Times New Roman" w:hAnsi="Times New Roman" w:cs="Times New Roman"/>
                <w:sz w:val="24"/>
                <w:szCs w:val="24"/>
                <w:lang w:eastAsia="nl-NL"/>
              </w:rPr>
              <w:t>600</w:t>
            </w:r>
          </w:p>
        </w:tc>
      </w:tr>
      <w:tr w:rsidR="007A2C96" w:rsidRPr="000A5B0F" w:rsidTr="00AE3FAC">
        <w:trPr>
          <w:tblCellSpacing w:w="15" w:type="dxa"/>
        </w:trPr>
        <w:tc>
          <w:tcPr>
            <w:tcW w:w="0" w:type="auto"/>
            <w:vAlign w:val="center"/>
            <w:hideMark/>
          </w:tcPr>
          <w:p w:rsidR="00AE3FAC" w:rsidRPr="000A5B0F" w:rsidRDefault="00AE3FAC" w:rsidP="00AE3FAC">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AE3FAC" w:rsidRPr="000A5B0F" w:rsidRDefault="00AE3FAC" w:rsidP="00AE3FAC">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AE3FAC" w:rsidRPr="000A5B0F" w:rsidRDefault="00AE3FAC" w:rsidP="00AE3FAC">
            <w:pPr>
              <w:spacing w:after="0" w:line="240" w:lineRule="auto"/>
              <w:rPr>
                <w:rFonts w:ascii="Times New Roman" w:eastAsia="Times New Roman" w:hAnsi="Times New Roman" w:cs="Times New Roman"/>
                <w:sz w:val="24"/>
                <w:szCs w:val="24"/>
                <w:lang w:eastAsia="nl-NL"/>
              </w:rPr>
            </w:pPr>
          </w:p>
        </w:tc>
        <w:tc>
          <w:tcPr>
            <w:tcW w:w="0" w:type="auto"/>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p>
        </w:tc>
        <w:tc>
          <w:tcPr>
            <w:tcW w:w="0" w:type="auto"/>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p>
        </w:tc>
        <w:tc>
          <w:tcPr>
            <w:tcW w:w="0" w:type="auto"/>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p>
        </w:tc>
        <w:tc>
          <w:tcPr>
            <w:tcW w:w="0" w:type="auto"/>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p>
        </w:tc>
      </w:tr>
      <w:tr w:rsidR="007A2C96" w:rsidRPr="000A5B0F" w:rsidTr="00AE3FAC">
        <w:trPr>
          <w:tblCellSpacing w:w="15" w:type="dxa"/>
        </w:trPr>
        <w:tc>
          <w:tcPr>
            <w:tcW w:w="0" w:type="auto"/>
            <w:vAlign w:val="center"/>
            <w:hideMark/>
          </w:tcPr>
          <w:p w:rsidR="00AE3FAC" w:rsidRPr="000A5B0F" w:rsidRDefault="00AE3FAC" w:rsidP="00AE3FAC">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AE3FAC" w:rsidRPr="000A5B0F" w:rsidRDefault="00AE3FAC" w:rsidP="00AE3FAC">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AE3FAC" w:rsidRPr="000A5B0F" w:rsidRDefault="00AE3FAC" w:rsidP="00AE3FAC">
            <w:pPr>
              <w:spacing w:after="0" w:line="240" w:lineRule="auto"/>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Tussenwoning</w:t>
            </w:r>
          </w:p>
        </w:tc>
        <w:tc>
          <w:tcPr>
            <w:tcW w:w="0" w:type="auto"/>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235.042</w:t>
            </w:r>
          </w:p>
        </w:tc>
        <w:tc>
          <w:tcPr>
            <w:tcW w:w="0" w:type="auto"/>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225.890</w:t>
            </w:r>
          </w:p>
        </w:tc>
        <w:tc>
          <w:tcPr>
            <w:tcW w:w="0" w:type="auto"/>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224.593</w:t>
            </w:r>
          </w:p>
        </w:tc>
        <w:tc>
          <w:tcPr>
            <w:tcW w:w="0" w:type="auto"/>
            <w:hideMark/>
          </w:tcPr>
          <w:p w:rsidR="00AE3FAC" w:rsidRPr="000A5B0F" w:rsidRDefault="00AE3FAC" w:rsidP="00F151A4">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22</w:t>
            </w:r>
            <w:r w:rsidR="00F151A4">
              <w:rPr>
                <w:rFonts w:ascii="Times New Roman" w:eastAsia="Times New Roman" w:hAnsi="Times New Roman" w:cs="Times New Roman"/>
                <w:sz w:val="24"/>
                <w:szCs w:val="24"/>
                <w:lang w:eastAsia="nl-NL"/>
              </w:rPr>
              <w:t>2.400</w:t>
            </w:r>
          </w:p>
        </w:tc>
      </w:tr>
      <w:tr w:rsidR="007A2C96" w:rsidRPr="000A5B0F" w:rsidTr="00AE3FAC">
        <w:trPr>
          <w:tblCellSpacing w:w="15" w:type="dxa"/>
        </w:trPr>
        <w:tc>
          <w:tcPr>
            <w:tcW w:w="0" w:type="auto"/>
            <w:vAlign w:val="center"/>
            <w:hideMark/>
          </w:tcPr>
          <w:p w:rsidR="00AE3FAC" w:rsidRPr="000A5B0F" w:rsidRDefault="00AE3FAC" w:rsidP="00AE3FAC">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AE3FAC" w:rsidRPr="000A5B0F" w:rsidRDefault="00AE3FAC" w:rsidP="00AE3FAC">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AE3FAC" w:rsidRPr="000A5B0F" w:rsidRDefault="00AE3FAC" w:rsidP="00AE3FAC">
            <w:pPr>
              <w:spacing w:after="0" w:line="240" w:lineRule="auto"/>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Vrijstaand</w:t>
            </w:r>
          </w:p>
        </w:tc>
        <w:tc>
          <w:tcPr>
            <w:tcW w:w="0" w:type="auto"/>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424.608</w:t>
            </w:r>
          </w:p>
        </w:tc>
        <w:tc>
          <w:tcPr>
            <w:tcW w:w="0" w:type="auto"/>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393.149</w:t>
            </w:r>
          </w:p>
        </w:tc>
        <w:tc>
          <w:tcPr>
            <w:tcW w:w="0" w:type="auto"/>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386.784</w:t>
            </w:r>
          </w:p>
        </w:tc>
        <w:tc>
          <w:tcPr>
            <w:tcW w:w="0" w:type="auto"/>
            <w:hideMark/>
          </w:tcPr>
          <w:p w:rsidR="00AE3FAC" w:rsidRPr="000A5B0F" w:rsidRDefault="00AE3FAC" w:rsidP="00F151A4">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38</w:t>
            </w:r>
            <w:r w:rsidR="00F151A4">
              <w:rPr>
                <w:rFonts w:ascii="Times New Roman" w:eastAsia="Times New Roman" w:hAnsi="Times New Roman" w:cs="Times New Roman"/>
                <w:sz w:val="24"/>
                <w:szCs w:val="24"/>
                <w:lang w:eastAsia="nl-NL"/>
              </w:rPr>
              <w:t>4</w:t>
            </w:r>
            <w:r w:rsidRPr="000A5B0F">
              <w:rPr>
                <w:rFonts w:ascii="Times New Roman" w:eastAsia="Times New Roman" w:hAnsi="Times New Roman" w:cs="Times New Roman"/>
                <w:sz w:val="24"/>
                <w:szCs w:val="24"/>
                <w:lang w:eastAsia="nl-NL"/>
              </w:rPr>
              <w:t>.</w:t>
            </w:r>
            <w:r w:rsidR="00F151A4">
              <w:rPr>
                <w:rFonts w:ascii="Times New Roman" w:eastAsia="Times New Roman" w:hAnsi="Times New Roman" w:cs="Times New Roman"/>
                <w:sz w:val="24"/>
                <w:szCs w:val="24"/>
                <w:lang w:eastAsia="nl-NL"/>
              </w:rPr>
              <w:t>700</w:t>
            </w:r>
          </w:p>
        </w:tc>
      </w:tr>
      <w:tr w:rsidR="007A2C96" w:rsidRPr="000A5B0F" w:rsidTr="00AE3FAC">
        <w:trPr>
          <w:tblCellSpacing w:w="15" w:type="dxa"/>
        </w:trPr>
        <w:tc>
          <w:tcPr>
            <w:tcW w:w="0" w:type="auto"/>
            <w:vAlign w:val="center"/>
            <w:hideMark/>
          </w:tcPr>
          <w:p w:rsidR="0037368B" w:rsidRPr="000A5B0F" w:rsidRDefault="0037368B" w:rsidP="00AE3FAC">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37368B" w:rsidRPr="000A5B0F" w:rsidRDefault="0037368B" w:rsidP="00AE3FAC">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37368B" w:rsidRPr="000A5B0F" w:rsidRDefault="0037368B" w:rsidP="00AE3FAC">
            <w:pPr>
              <w:spacing w:after="0" w:line="240" w:lineRule="auto"/>
              <w:rPr>
                <w:rFonts w:ascii="Times New Roman" w:eastAsia="Times New Roman" w:hAnsi="Times New Roman" w:cs="Times New Roman"/>
                <w:sz w:val="24"/>
                <w:szCs w:val="24"/>
                <w:lang w:eastAsia="nl-NL"/>
              </w:rPr>
            </w:pPr>
          </w:p>
        </w:tc>
        <w:tc>
          <w:tcPr>
            <w:tcW w:w="0" w:type="auto"/>
            <w:hideMark/>
          </w:tcPr>
          <w:p w:rsidR="0037368B" w:rsidRPr="000A5B0F" w:rsidRDefault="0037368B" w:rsidP="00AE3FAC">
            <w:pPr>
              <w:spacing w:after="0" w:line="240" w:lineRule="auto"/>
              <w:jc w:val="right"/>
              <w:rPr>
                <w:rFonts w:ascii="Times New Roman" w:eastAsia="Times New Roman" w:hAnsi="Times New Roman" w:cs="Times New Roman"/>
                <w:sz w:val="24"/>
                <w:szCs w:val="24"/>
                <w:lang w:eastAsia="nl-NL"/>
              </w:rPr>
            </w:pPr>
          </w:p>
        </w:tc>
        <w:tc>
          <w:tcPr>
            <w:tcW w:w="0" w:type="auto"/>
            <w:hideMark/>
          </w:tcPr>
          <w:p w:rsidR="0037368B" w:rsidRPr="000A5B0F" w:rsidRDefault="0037368B" w:rsidP="00AE3FAC">
            <w:pPr>
              <w:spacing w:after="0" w:line="240" w:lineRule="auto"/>
              <w:jc w:val="right"/>
              <w:rPr>
                <w:rFonts w:ascii="Times New Roman" w:eastAsia="Times New Roman" w:hAnsi="Times New Roman" w:cs="Times New Roman"/>
                <w:sz w:val="24"/>
                <w:szCs w:val="24"/>
                <w:lang w:eastAsia="nl-NL"/>
              </w:rPr>
            </w:pPr>
          </w:p>
        </w:tc>
        <w:tc>
          <w:tcPr>
            <w:tcW w:w="0" w:type="auto"/>
            <w:hideMark/>
          </w:tcPr>
          <w:p w:rsidR="0037368B" w:rsidRPr="000A5B0F" w:rsidRDefault="0037368B" w:rsidP="00AE3FAC">
            <w:pPr>
              <w:spacing w:after="0" w:line="240" w:lineRule="auto"/>
              <w:jc w:val="right"/>
              <w:rPr>
                <w:rFonts w:ascii="Times New Roman" w:eastAsia="Times New Roman" w:hAnsi="Times New Roman" w:cs="Times New Roman"/>
                <w:sz w:val="24"/>
                <w:szCs w:val="24"/>
                <w:lang w:eastAsia="nl-NL"/>
              </w:rPr>
            </w:pPr>
          </w:p>
        </w:tc>
        <w:tc>
          <w:tcPr>
            <w:tcW w:w="0" w:type="auto"/>
            <w:hideMark/>
          </w:tcPr>
          <w:p w:rsidR="0037368B" w:rsidRPr="000A5B0F" w:rsidRDefault="0037368B" w:rsidP="00AE3FAC">
            <w:pPr>
              <w:spacing w:after="0" w:line="240" w:lineRule="auto"/>
              <w:jc w:val="right"/>
              <w:rPr>
                <w:rFonts w:ascii="Times New Roman" w:eastAsia="Times New Roman" w:hAnsi="Times New Roman" w:cs="Times New Roman"/>
                <w:sz w:val="24"/>
                <w:szCs w:val="24"/>
                <w:lang w:eastAsia="nl-NL"/>
              </w:rPr>
            </w:pPr>
          </w:p>
        </w:tc>
      </w:tr>
      <w:tr w:rsidR="007A2C96" w:rsidRPr="000A5B0F" w:rsidTr="00AE3FAC">
        <w:trPr>
          <w:tblCellSpacing w:w="15" w:type="dxa"/>
        </w:trPr>
        <w:tc>
          <w:tcPr>
            <w:tcW w:w="0" w:type="auto"/>
            <w:vAlign w:val="center"/>
            <w:hideMark/>
          </w:tcPr>
          <w:p w:rsidR="0037368B" w:rsidRDefault="0037368B" w:rsidP="00AE3FAC">
            <w:pPr>
              <w:spacing w:after="0" w:line="240" w:lineRule="auto"/>
              <w:rPr>
                <w:rFonts w:ascii="Times New Roman" w:eastAsia="Times New Roman" w:hAnsi="Times New Roman" w:cs="Times New Roman"/>
                <w:sz w:val="24"/>
                <w:szCs w:val="24"/>
                <w:lang w:eastAsia="nl-NL"/>
              </w:rPr>
            </w:pPr>
          </w:p>
          <w:p w:rsidR="0037368B" w:rsidRPr="000A5B0F" w:rsidRDefault="0037368B" w:rsidP="00AE3FAC">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37368B" w:rsidRPr="000A5B0F" w:rsidRDefault="0037368B" w:rsidP="00AE3FAC">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37368B" w:rsidRPr="000A5B0F" w:rsidRDefault="0037368B" w:rsidP="00AE3FAC">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Totaal</w:t>
            </w:r>
          </w:p>
        </w:tc>
        <w:tc>
          <w:tcPr>
            <w:tcW w:w="0" w:type="auto"/>
            <w:hideMark/>
          </w:tcPr>
          <w:p w:rsidR="0037368B" w:rsidRPr="000A5B0F" w:rsidRDefault="0037368B" w:rsidP="00AE3FAC">
            <w:pPr>
              <w:spacing w:after="0" w:line="240" w:lineRule="auto"/>
              <w:jc w:val="right"/>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254.900</w:t>
            </w:r>
          </w:p>
        </w:tc>
        <w:tc>
          <w:tcPr>
            <w:tcW w:w="0" w:type="auto"/>
            <w:hideMark/>
          </w:tcPr>
          <w:p w:rsidR="0037368B" w:rsidRPr="000A5B0F" w:rsidRDefault="0037368B" w:rsidP="0037368B">
            <w:pPr>
              <w:spacing w:after="0" w:line="240" w:lineRule="auto"/>
              <w:jc w:val="right"/>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238.300</w:t>
            </w:r>
          </w:p>
        </w:tc>
        <w:tc>
          <w:tcPr>
            <w:tcW w:w="0" w:type="auto"/>
            <w:hideMark/>
          </w:tcPr>
          <w:p w:rsidR="0037368B" w:rsidRPr="000A5B0F" w:rsidRDefault="0037368B" w:rsidP="00AE3FAC">
            <w:pPr>
              <w:spacing w:after="0" w:line="240" w:lineRule="auto"/>
              <w:jc w:val="right"/>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239.500</w:t>
            </w:r>
          </w:p>
        </w:tc>
        <w:tc>
          <w:tcPr>
            <w:tcW w:w="0" w:type="auto"/>
            <w:hideMark/>
          </w:tcPr>
          <w:p w:rsidR="0037368B" w:rsidRPr="000A5B0F" w:rsidRDefault="0037368B" w:rsidP="00F151A4">
            <w:pPr>
              <w:spacing w:after="0" w:line="240" w:lineRule="auto"/>
              <w:jc w:val="right"/>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24</w:t>
            </w:r>
            <w:r w:rsidR="00F151A4">
              <w:rPr>
                <w:rFonts w:ascii="Times New Roman" w:eastAsia="Times New Roman" w:hAnsi="Times New Roman" w:cs="Times New Roman"/>
                <w:sz w:val="24"/>
                <w:szCs w:val="24"/>
                <w:lang w:eastAsia="nl-NL"/>
              </w:rPr>
              <w:t>0</w:t>
            </w:r>
            <w:r>
              <w:rPr>
                <w:rFonts w:ascii="Times New Roman" w:eastAsia="Times New Roman" w:hAnsi="Times New Roman" w:cs="Times New Roman"/>
                <w:sz w:val="24"/>
                <w:szCs w:val="24"/>
                <w:lang w:eastAsia="nl-NL"/>
              </w:rPr>
              <w:t>.</w:t>
            </w:r>
            <w:r w:rsidR="00F151A4">
              <w:rPr>
                <w:rFonts w:ascii="Times New Roman" w:eastAsia="Times New Roman" w:hAnsi="Times New Roman" w:cs="Times New Roman"/>
                <w:sz w:val="24"/>
                <w:szCs w:val="24"/>
                <w:lang w:eastAsia="nl-NL"/>
              </w:rPr>
              <w:t>1</w:t>
            </w:r>
            <w:r>
              <w:rPr>
                <w:rFonts w:ascii="Times New Roman" w:eastAsia="Times New Roman" w:hAnsi="Times New Roman" w:cs="Times New Roman"/>
                <w:sz w:val="24"/>
                <w:szCs w:val="24"/>
                <w:lang w:eastAsia="nl-NL"/>
              </w:rPr>
              <w:t>00</w:t>
            </w:r>
          </w:p>
        </w:tc>
      </w:tr>
      <w:tr w:rsidR="007A2C96" w:rsidRPr="000A5B0F" w:rsidTr="00AE3FAC">
        <w:trPr>
          <w:tblCellSpacing w:w="15" w:type="dxa"/>
        </w:trPr>
        <w:tc>
          <w:tcPr>
            <w:tcW w:w="0" w:type="auto"/>
            <w:vAlign w:val="center"/>
            <w:hideMark/>
          </w:tcPr>
          <w:p w:rsidR="0037368B" w:rsidRDefault="0037368B" w:rsidP="00AE3FAC">
            <w:pPr>
              <w:spacing w:after="0" w:line="240" w:lineRule="auto"/>
              <w:rPr>
                <w:rFonts w:ascii="Times New Roman" w:eastAsia="Times New Roman" w:hAnsi="Times New Roman" w:cs="Times New Roman"/>
                <w:sz w:val="24"/>
                <w:szCs w:val="24"/>
                <w:lang w:eastAsia="nl-NL"/>
              </w:rPr>
            </w:pPr>
          </w:p>
          <w:p w:rsidR="0037368B" w:rsidRPr="000A5B0F" w:rsidRDefault="0037368B" w:rsidP="00AE3FAC">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37368B" w:rsidRPr="000A5B0F" w:rsidRDefault="0037368B" w:rsidP="00AE3FAC">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37368B" w:rsidRPr="000A5B0F" w:rsidRDefault="0037368B" w:rsidP="00692E95">
            <w:pPr>
              <w:spacing w:after="0" w:line="240" w:lineRule="auto"/>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Onbekend</w:t>
            </w:r>
          </w:p>
        </w:tc>
        <w:tc>
          <w:tcPr>
            <w:tcW w:w="0" w:type="auto"/>
            <w:hideMark/>
          </w:tcPr>
          <w:p w:rsidR="0037368B" w:rsidRPr="000A5B0F" w:rsidRDefault="0037368B" w:rsidP="00692E95">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333.834</w:t>
            </w:r>
          </w:p>
        </w:tc>
        <w:tc>
          <w:tcPr>
            <w:tcW w:w="0" w:type="auto"/>
            <w:hideMark/>
          </w:tcPr>
          <w:p w:rsidR="0037368B" w:rsidRPr="000A5B0F" w:rsidRDefault="0037368B" w:rsidP="00692E95">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308.941</w:t>
            </w:r>
          </w:p>
        </w:tc>
        <w:tc>
          <w:tcPr>
            <w:tcW w:w="0" w:type="auto"/>
            <w:hideMark/>
          </w:tcPr>
          <w:p w:rsidR="0037368B" w:rsidRPr="000A5B0F" w:rsidRDefault="0037368B" w:rsidP="00692E95">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310.476</w:t>
            </w:r>
          </w:p>
        </w:tc>
        <w:tc>
          <w:tcPr>
            <w:tcW w:w="0" w:type="auto"/>
            <w:hideMark/>
          </w:tcPr>
          <w:p w:rsidR="0037368B" w:rsidRPr="000A5B0F" w:rsidRDefault="0037368B" w:rsidP="00692E95">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310.090</w:t>
            </w:r>
          </w:p>
        </w:tc>
      </w:tr>
    </w:tbl>
    <w:p w:rsidR="00AE3FAC" w:rsidRPr="00C50FA2" w:rsidRDefault="00C50FA2" w:rsidP="00AE3FAC">
      <w:pPr>
        <w:spacing w:after="0" w:line="240" w:lineRule="auto"/>
        <w:rPr>
          <w:rFonts w:ascii="Times New Roman" w:eastAsia="Times New Roman" w:hAnsi="Times New Roman" w:cs="Times New Roman"/>
          <w:b/>
          <w:sz w:val="24"/>
          <w:szCs w:val="24"/>
          <w:lang w:eastAsia="nl-NL"/>
        </w:rPr>
      </w:pPr>
      <w:r w:rsidRPr="00C50FA2">
        <w:rPr>
          <w:rFonts w:ascii="Times New Roman" w:eastAsia="Times New Roman" w:hAnsi="Times New Roman" w:cs="Times New Roman"/>
          <w:b/>
          <w:sz w:val="24"/>
          <w:szCs w:val="24"/>
          <w:lang w:eastAsia="nl-NL"/>
        </w:rPr>
        <w:t xml:space="preserve">Relatief meer transacties bij </w:t>
      </w:r>
      <w:r>
        <w:rPr>
          <w:rFonts w:ascii="Times New Roman" w:eastAsia="Times New Roman" w:hAnsi="Times New Roman" w:cs="Times New Roman"/>
          <w:b/>
          <w:sz w:val="24"/>
          <w:szCs w:val="24"/>
          <w:lang w:eastAsia="nl-NL"/>
        </w:rPr>
        <w:t xml:space="preserve">half- en </w:t>
      </w:r>
      <w:r w:rsidRPr="00C50FA2">
        <w:rPr>
          <w:rFonts w:ascii="Times New Roman" w:eastAsia="Times New Roman" w:hAnsi="Times New Roman" w:cs="Times New Roman"/>
          <w:b/>
          <w:sz w:val="24"/>
          <w:szCs w:val="24"/>
          <w:lang w:eastAsia="nl-NL"/>
        </w:rPr>
        <w:t xml:space="preserve">vrijstaande woningen, minder </w:t>
      </w:r>
      <w:r>
        <w:rPr>
          <w:rFonts w:ascii="Times New Roman" w:eastAsia="Times New Roman" w:hAnsi="Times New Roman" w:cs="Times New Roman"/>
          <w:b/>
          <w:sz w:val="24"/>
          <w:szCs w:val="24"/>
          <w:lang w:eastAsia="nl-NL"/>
        </w:rPr>
        <w:t xml:space="preserve">bij </w:t>
      </w:r>
      <w:r w:rsidRPr="00C50FA2">
        <w:rPr>
          <w:rFonts w:ascii="Times New Roman" w:eastAsia="Times New Roman" w:hAnsi="Times New Roman" w:cs="Times New Roman"/>
          <w:b/>
          <w:sz w:val="24"/>
          <w:szCs w:val="24"/>
          <w:lang w:eastAsia="nl-NL"/>
        </w:rPr>
        <w:t>appartementen</w:t>
      </w:r>
    </w:p>
    <w:tbl>
      <w:tblPr>
        <w:tblW w:w="0" w:type="auto"/>
        <w:tblCellSpacing w:w="15" w:type="dxa"/>
        <w:tblCellMar>
          <w:top w:w="15" w:type="dxa"/>
          <w:left w:w="15" w:type="dxa"/>
          <w:bottom w:w="15" w:type="dxa"/>
          <w:right w:w="15" w:type="dxa"/>
        </w:tblCellMar>
        <w:tblLook w:val="04A0"/>
      </w:tblPr>
      <w:tblGrid>
        <w:gridCol w:w="81"/>
        <w:gridCol w:w="66"/>
        <w:gridCol w:w="1773"/>
        <w:gridCol w:w="1440"/>
        <w:gridCol w:w="1080"/>
        <w:gridCol w:w="1140"/>
        <w:gridCol w:w="1155"/>
      </w:tblGrid>
      <w:tr w:rsidR="00AE3FAC" w:rsidRPr="000A5B0F" w:rsidTr="00AE3FAC">
        <w:trPr>
          <w:tblCellSpacing w:w="15" w:type="dxa"/>
        </w:trPr>
        <w:tc>
          <w:tcPr>
            <w:tcW w:w="0" w:type="auto"/>
            <w:vAlign w:val="center"/>
            <w:hideMark/>
          </w:tcPr>
          <w:p w:rsidR="00AE3FAC" w:rsidRPr="000A5B0F" w:rsidRDefault="00AE3FAC" w:rsidP="00AE3FAC">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AE3FAC" w:rsidRPr="000A5B0F" w:rsidRDefault="00AE3FAC" w:rsidP="00AE3FAC">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AE3FAC" w:rsidRPr="000A5B0F" w:rsidRDefault="00353421" w:rsidP="0035342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Aantal transacties    </w:t>
            </w:r>
          </w:p>
        </w:tc>
        <w:tc>
          <w:tcPr>
            <w:tcW w:w="750" w:type="dxa"/>
            <w:vAlign w:val="center"/>
            <w:hideMark/>
          </w:tcPr>
          <w:p w:rsidR="00AE3FAC" w:rsidRPr="000A5B0F" w:rsidRDefault="00353421" w:rsidP="00AE3FAC">
            <w:pPr>
              <w:spacing w:after="0" w:line="240" w:lineRule="auto"/>
              <w:jc w:val="right"/>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AE3FAC" w:rsidRPr="000A5B0F">
              <w:rPr>
                <w:rFonts w:ascii="Times New Roman" w:eastAsia="Times New Roman" w:hAnsi="Times New Roman" w:cs="Times New Roman"/>
                <w:sz w:val="24"/>
                <w:szCs w:val="24"/>
                <w:lang w:eastAsia="nl-NL"/>
              </w:rPr>
              <w:t>2008</w:t>
            </w:r>
          </w:p>
        </w:tc>
        <w:tc>
          <w:tcPr>
            <w:tcW w:w="750" w:type="dxa"/>
            <w:vAlign w:val="center"/>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2009</w:t>
            </w:r>
          </w:p>
        </w:tc>
        <w:tc>
          <w:tcPr>
            <w:tcW w:w="750" w:type="dxa"/>
            <w:vAlign w:val="center"/>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2010</w:t>
            </w:r>
          </w:p>
        </w:tc>
        <w:tc>
          <w:tcPr>
            <w:tcW w:w="750" w:type="dxa"/>
            <w:vAlign w:val="center"/>
            <w:hideMark/>
          </w:tcPr>
          <w:p w:rsidR="00AE3FAC" w:rsidRPr="000A5B0F" w:rsidRDefault="00AE3FAC" w:rsidP="00F151A4">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2011</w:t>
            </w:r>
          </w:p>
        </w:tc>
      </w:tr>
      <w:tr w:rsidR="00AE3FAC" w:rsidRPr="000A5B0F" w:rsidTr="00AE3FAC">
        <w:trPr>
          <w:tblCellSpacing w:w="15" w:type="dxa"/>
        </w:trPr>
        <w:tc>
          <w:tcPr>
            <w:tcW w:w="0" w:type="auto"/>
            <w:vAlign w:val="center"/>
            <w:hideMark/>
          </w:tcPr>
          <w:p w:rsidR="00AE3FAC" w:rsidRPr="000A5B0F" w:rsidRDefault="00AE3FAC" w:rsidP="00AE3FAC">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AE3FAC" w:rsidRPr="000A5B0F" w:rsidRDefault="00AE3FAC" w:rsidP="00AE3FAC">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AE3FAC" w:rsidRPr="000A5B0F" w:rsidRDefault="00AE3FAC" w:rsidP="00AE3FAC">
            <w:pPr>
              <w:spacing w:after="0" w:line="240" w:lineRule="auto"/>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2/1 kapwoning</w:t>
            </w:r>
          </w:p>
        </w:tc>
        <w:tc>
          <w:tcPr>
            <w:tcW w:w="0" w:type="auto"/>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0A5B0F">
              <w:rPr>
                <w:rFonts w:ascii="Times New Roman" w:eastAsia="Times New Roman" w:hAnsi="Times New Roman" w:cs="Times New Roman"/>
                <w:sz w:val="24"/>
                <w:szCs w:val="24"/>
                <w:lang w:eastAsia="nl-NL"/>
              </w:rPr>
              <w:t>19.303</w:t>
            </w:r>
          </w:p>
        </w:tc>
        <w:tc>
          <w:tcPr>
            <w:tcW w:w="0" w:type="auto"/>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0A5B0F">
              <w:rPr>
                <w:rFonts w:ascii="Times New Roman" w:eastAsia="Times New Roman" w:hAnsi="Times New Roman" w:cs="Times New Roman"/>
                <w:sz w:val="24"/>
                <w:szCs w:val="24"/>
                <w:lang w:eastAsia="nl-NL"/>
              </w:rPr>
              <w:t>13.095</w:t>
            </w:r>
          </w:p>
        </w:tc>
        <w:tc>
          <w:tcPr>
            <w:tcW w:w="0" w:type="auto"/>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0A5B0F">
              <w:rPr>
                <w:rFonts w:ascii="Times New Roman" w:eastAsia="Times New Roman" w:hAnsi="Times New Roman" w:cs="Times New Roman"/>
                <w:sz w:val="24"/>
                <w:szCs w:val="24"/>
                <w:lang w:eastAsia="nl-NL"/>
              </w:rPr>
              <w:t>13.379</w:t>
            </w:r>
          </w:p>
        </w:tc>
        <w:tc>
          <w:tcPr>
            <w:tcW w:w="0" w:type="auto"/>
            <w:hideMark/>
          </w:tcPr>
          <w:p w:rsidR="00AE3FAC" w:rsidRPr="000A5B0F" w:rsidRDefault="00AE3FAC" w:rsidP="00200E73">
            <w:pPr>
              <w:spacing w:after="0" w:line="240" w:lineRule="auto"/>
              <w:jc w:val="right"/>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0A5B0F">
              <w:rPr>
                <w:rFonts w:ascii="Times New Roman" w:eastAsia="Times New Roman" w:hAnsi="Times New Roman" w:cs="Times New Roman"/>
                <w:sz w:val="24"/>
                <w:szCs w:val="24"/>
                <w:lang w:eastAsia="nl-NL"/>
              </w:rPr>
              <w:t>1</w:t>
            </w:r>
            <w:r w:rsidR="00200E73">
              <w:rPr>
                <w:rFonts w:ascii="Times New Roman" w:eastAsia="Times New Roman" w:hAnsi="Times New Roman" w:cs="Times New Roman"/>
                <w:sz w:val="24"/>
                <w:szCs w:val="24"/>
                <w:lang w:eastAsia="nl-NL"/>
              </w:rPr>
              <w:t>2</w:t>
            </w:r>
            <w:r w:rsidRPr="000A5B0F">
              <w:rPr>
                <w:rFonts w:ascii="Times New Roman" w:eastAsia="Times New Roman" w:hAnsi="Times New Roman" w:cs="Times New Roman"/>
                <w:sz w:val="24"/>
                <w:szCs w:val="24"/>
                <w:lang w:eastAsia="nl-NL"/>
              </w:rPr>
              <w:t>.</w:t>
            </w:r>
            <w:r w:rsidR="00200E73">
              <w:rPr>
                <w:rFonts w:ascii="Times New Roman" w:eastAsia="Times New Roman" w:hAnsi="Times New Roman" w:cs="Times New Roman"/>
                <w:sz w:val="24"/>
                <w:szCs w:val="24"/>
                <w:lang w:eastAsia="nl-NL"/>
              </w:rPr>
              <w:t>993</w:t>
            </w:r>
          </w:p>
        </w:tc>
      </w:tr>
      <w:tr w:rsidR="00AE3FAC" w:rsidRPr="000A5B0F" w:rsidTr="00AE3FAC">
        <w:trPr>
          <w:tblCellSpacing w:w="15" w:type="dxa"/>
        </w:trPr>
        <w:tc>
          <w:tcPr>
            <w:tcW w:w="0" w:type="auto"/>
            <w:vAlign w:val="center"/>
            <w:hideMark/>
          </w:tcPr>
          <w:p w:rsidR="00AE3FAC" w:rsidRPr="000A5B0F" w:rsidRDefault="00AE3FAC" w:rsidP="00AE3FAC">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AE3FAC" w:rsidRPr="000A5B0F" w:rsidRDefault="00AE3FAC" w:rsidP="00AE3FAC">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AE3FAC" w:rsidRPr="000A5B0F" w:rsidRDefault="00AE3FAC" w:rsidP="00AE3FAC">
            <w:pPr>
              <w:spacing w:after="0" w:line="240" w:lineRule="auto"/>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Appartement</w:t>
            </w:r>
            <w:r w:rsidR="00353421">
              <w:rPr>
                <w:rFonts w:ascii="Times New Roman" w:eastAsia="Times New Roman" w:hAnsi="Times New Roman" w:cs="Times New Roman"/>
                <w:sz w:val="24"/>
                <w:szCs w:val="24"/>
                <w:lang w:eastAsia="nl-NL"/>
              </w:rPr>
              <w:t xml:space="preserve">     </w:t>
            </w:r>
          </w:p>
        </w:tc>
        <w:tc>
          <w:tcPr>
            <w:tcW w:w="0" w:type="auto"/>
            <w:hideMark/>
          </w:tcPr>
          <w:p w:rsidR="00AE3FAC" w:rsidRPr="000A5B0F" w:rsidRDefault="00353421" w:rsidP="00AE3FAC">
            <w:pPr>
              <w:spacing w:after="0" w:line="240" w:lineRule="auto"/>
              <w:jc w:val="right"/>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AE3FAC" w:rsidRPr="000A5B0F">
              <w:rPr>
                <w:rFonts w:ascii="Times New Roman" w:eastAsia="Times New Roman" w:hAnsi="Times New Roman" w:cs="Times New Roman"/>
                <w:sz w:val="24"/>
                <w:szCs w:val="24"/>
                <w:lang w:eastAsia="nl-NL"/>
              </w:rPr>
              <w:t>54.117</w:t>
            </w:r>
          </w:p>
        </w:tc>
        <w:tc>
          <w:tcPr>
            <w:tcW w:w="0" w:type="auto"/>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39.555</w:t>
            </w:r>
          </w:p>
        </w:tc>
        <w:tc>
          <w:tcPr>
            <w:tcW w:w="0" w:type="auto"/>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39.037</w:t>
            </w:r>
          </w:p>
        </w:tc>
        <w:tc>
          <w:tcPr>
            <w:tcW w:w="0" w:type="auto"/>
            <w:hideMark/>
          </w:tcPr>
          <w:p w:rsidR="00AE3FAC" w:rsidRPr="000A5B0F" w:rsidRDefault="00200E73" w:rsidP="00200E73">
            <w:pPr>
              <w:spacing w:after="0" w:line="240" w:lineRule="auto"/>
              <w:jc w:val="right"/>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36.139</w:t>
            </w:r>
          </w:p>
        </w:tc>
      </w:tr>
      <w:tr w:rsidR="00AE3FAC" w:rsidRPr="000A5B0F" w:rsidTr="00AE3FAC">
        <w:trPr>
          <w:tblCellSpacing w:w="15" w:type="dxa"/>
        </w:trPr>
        <w:tc>
          <w:tcPr>
            <w:tcW w:w="0" w:type="auto"/>
            <w:vAlign w:val="center"/>
            <w:hideMark/>
          </w:tcPr>
          <w:p w:rsidR="00AE3FAC" w:rsidRPr="000A5B0F" w:rsidRDefault="00AE3FAC" w:rsidP="00AE3FAC">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AE3FAC" w:rsidRPr="000A5B0F" w:rsidRDefault="00AE3FAC" w:rsidP="00AE3FAC">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AE3FAC" w:rsidRPr="000A5B0F" w:rsidRDefault="00AE3FAC" w:rsidP="00AE3FAC">
            <w:pPr>
              <w:spacing w:after="0" w:line="240" w:lineRule="auto"/>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Hoekwoning</w:t>
            </w:r>
          </w:p>
        </w:tc>
        <w:tc>
          <w:tcPr>
            <w:tcW w:w="0" w:type="auto"/>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23.949</w:t>
            </w:r>
          </w:p>
        </w:tc>
        <w:tc>
          <w:tcPr>
            <w:tcW w:w="0" w:type="auto"/>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17.055</w:t>
            </w:r>
          </w:p>
        </w:tc>
        <w:tc>
          <w:tcPr>
            <w:tcW w:w="0" w:type="auto"/>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16.585</w:t>
            </w:r>
          </w:p>
        </w:tc>
        <w:tc>
          <w:tcPr>
            <w:tcW w:w="0" w:type="auto"/>
            <w:hideMark/>
          </w:tcPr>
          <w:p w:rsidR="00AE3FAC" w:rsidRPr="000A5B0F" w:rsidRDefault="00AE3FAC" w:rsidP="00200E73">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1</w:t>
            </w:r>
            <w:r w:rsidR="00200E73">
              <w:rPr>
                <w:rFonts w:ascii="Times New Roman" w:eastAsia="Times New Roman" w:hAnsi="Times New Roman" w:cs="Times New Roman"/>
                <w:sz w:val="24"/>
                <w:szCs w:val="24"/>
                <w:lang w:eastAsia="nl-NL"/>
              </w:rPr>
              <w:t>5</w:t>
            </w:r>
            <w:r w:rsidRPr="000A5B0F">
              <w:rPr>
                <w:rFonts w:ascii="Times New Roman" w:eastAsia="Times New Roman" w:hAnsi="Times New Roman" w:cs="Times New Roman"/>
                <w:sz w:val="24"/>
                <w:szCs w:val="24"/>
                <w:lang w:eastAsia="nl-NL"/>
              </w:rPr>
              <w:t>.9</w:t>
            </w:r>
            <w:r w:rsidR="00200E73">
              <w:rPr>
                <w:rFonts w:ascii="Times New Roman" w:eastAsia="Times New Roman" w:hAnsi="Times New Roman" w:cs="Times New Roman"/>
                <w:sz w:val="24"/>
                <w:szCs w:val="24"/>
                <w:lang w:eastAsia="nl-NL"/>
              </w:rPr>
              <w:t>48</w:t>
            </w:r>
          </w:p>
        </w:tc>
      </w:tr>
      <w:tr w:rsidR="00AE3FAC" w:rsidRPr="000A5B0F" w:rsidTr="00AE3FAC">
        <w:trPr>
          <w:tblCellSpacing w:w="15" w:type="dxa"/>
        </w:trPr>
        <w:tc>
          <w:tcPr>
            <w:tcW w:w="0" w:type="auto"/>
            <w:vAlign w:val="center"/>
            <w:hideMark/>
          </w:tcPr>
          <w:p w:rsidR="00AE3FAC" w:rsidRPr="000A5B0F" w:rsidRDefault="00AE3FAC" w:rsidP="00AE3FAC">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AE3FAC" w:rsidRPr="000A5B0F" w:rsidRDefault="00AE3FAC" w:rsidP="00AE3FAC">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AE3FAC" w:rsidRPr="000A5B0F" w:rsidRDefault="00AE3FAC" w:rsidP="00AE3FAC">
            <w:pPr>
              <w:spacing w:after="0" w:line="240" w:lineRule="auto"/>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Onbekend</w:t>
            </w:r>
          </w:p>
        </w:tc>
        <w:tc>
          <w:tcPr>
            <w:tcW w:w="0" w:type="auto"/>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5.366</w:t>
            </w:r>
          </w:p>
        </w:tc>
        <w:tc>
          <w:tcPr>
            <w:tcW w:w="0" w:type="auto"/>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3.625</w:t>
            </w:r>
          </w:p>
        </w:tc>
        <w:tc>
          <w:tcPr>
            <w:tcW w:w="0" w:type="auto"/>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4.105</w:t>
            </w:r>
          </w:p>
        </w:tc>
        <w:tc>
          <w:tcPr>
            <w:tcW w:w="0" w:type="auto"/>
            <w:hideMark/>
          </w:tcPr>
          <w:p w:rsidR="00AE3FAC" w:rsidRPr="000A5B0F" w:rsidRDefault="00200E73" w:rsidP="00200E73">
            <w:pPr>
              <w:spacing w:after="0" w:line="240" w:lineRule="auto"/>
              <w:jc w:val="right"/>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3.668</w:t>
            </w:r>
          </w:p>
        </w:tc>
      </w:tr>
      <w:tr w:rsidR="00AE3FAC" w:rsidRPr="000A5B0F" w:rsidTr="00AE3FAC">
        <w:trPr>
          <w:tblCellSpacing w:w="15" w:type="dxa"/>
        </w:trPr>
        <w:tc>
          <w:tcPr>
            <w:tcW w:w="0" w:type="auto"/>
            <w:vAlign w:val="center"/>
            <w:hideMark/>
          </w:tcPr>
          <w:p w:rsidR="00AE3FAC" w:rsidRPr="000A5B0F" w:rsidRDefault="00AE3FAC" w:rsidP="00AE3FAC">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AE3FAC" w:rsidRPr="000A5B0F" w:rsidRDefault="00AE3FAC" w:rsidP="00AE3FAC">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AE3FAC" w:rsidRPr="000A5B0F" w:rsidRDefault="00AE3FAC" w:rsidP="00AE3FAC">
            <w:pPr>
              <w:spacing w:after="0" w:line="240" w:lineRule="auto"/>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Tussenwoning</w:t>
            </w:r>
          </w:p>
        </w:tc>
        <w:tc>
          <w:tcPr>
            <w:tcW w:w="0" w:type="auto"/>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59.689</w:t>
            </w:r>
          </w:p>
        </w:tc>
        <w:tc>
          <w:tcPr>
            <w:tcW w:w="0" w:type="auto"/>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41.551</w:t>
            </w:r>
          </w:p>
        </w:tc>
        <w:tc>
          <w:tcPr>
            <w:tcW w:w="0" w:type="auto"/>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40.160</w:t>
            </w:r>
          </w:p>
        </w:tc>
        <w:tc>
          <w:tcPr>
            <w:tcW w:w="0" w:type="auto"/>
            <w:hideMark/>
          </w:tcPr>
          <w:p w:rsidR="00AE3FAC" w:rsidRPr="000A5B0F" w:rsidRDefault="00AE3FAC" w:rsidP="00200E73">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3</w:t>
            </w:r>
            <w:r w:rsidR="00200E73">
              <w:rPr>
                <w:rFonts w:ascii="Times New Roman" w:eastAsia="Times New Roman" w:hAnsi="Times New Roman" w:cs="Times New Roman"/>
                <w:sz w:val="24"/>
                <w:szCs w:val="24"/>
                <w:lang w:eastAsia="nl-NL"/>
              </w:rPr>
              <w:t>8</w:t>
            </w:r>
            <w:r w:rsidRPr="000A5B0F">
              <w:rPr>
                <w:rFonts w:ascii="Times New Roman" w:eastAsia="Times New Roman" w:hAnsi="Times New Roman" w:cs="Times New Roman"/>
                <w:sz w:val="24"/>
                <w:szCs w:val="24"/>
                <w:lang w:eastAsia="nl-NL"/>
              </w:rPr>
              <w:t>.</w:t>
            </w:r>
            <w:r w:rsidR="00200E73">
              <w:rPr>
                <w:rFonts w:ascii="Times New Roman" w:eastAsia="Times New Roman" w:hAnsi="Times New Roman" w:cs="Times New Roman"/>
                <w:sz w:val="24"/>
                <w:szCs w:val="24"/>
                <w:lang w:eastAsia="nl-NL"/>
              </w:rPr>
              <w:t>5</w:t>
            </w:r>
            <w:r w:rsidRPr="000A5B0F">
              <w:rPr>
                <w:rFonts w:ascii="Times New Roman" w:eastAsia="Times New Roman" w:hAnsi="Times New Roman" w:cs="Times New Roman"/>
                <w:sz w:val="24"/>
                <w:szCs w:val="24"/>
                <w:lang w:eastAsia="nl-NL"/>
              </w:rPr>
              <w:t>7</w:t>
            </w:r>
            <w:r w:rsidR="00200E73">
              <w:rPr>
                <w:rFonts w:ascii="Times New Roman" w:eastAsia="Times New Roman" w:hAnsi="Times New Roman" w:cs="Times New Roman"/>
                <w:sz w:val="24"/>
                <w:szCs w:val="24"/>
                <w:lang w:eastAsia="nl-NL"/>
              </w:rPr>
              <w:t>0</w:t>
            </w:r>
          </w:p>
        </w:tc>
      </w:tr>
      <w:tr w:rsidR="00AE3FAC" w:rsidRPr="000A5B0F" w:rsidTr="00AE3FAC">
        <w:trPr>
          <w:tblCellSpacing w:w="15" w:type="dxa"/>
        </w:trPr>
        <w:tc>
          <w:tcPr>
            <w:tcW w:w="0" w:type="auto"/>
            <w:vAlign w:val="center"/>
            <w:hideMark/>
          </w:tcPr>
          <w:p w:rsidR="00AE3FAC" w:rsidRPr="000A5B0F" w:rsidRDefault="00AE3FAC" w:rsidP="00AE3FAC">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AE3FAC" w:rsidRPr="000A5B0F" w:rsidRDefault="00AE3FAC" w:rsidP="00AE3FAC">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AE3FAC" w:rsidRPr="000A5B0F" w:rsidRDefault="00AE3FAC" w:rsidP="00AE3FAC">
            <w:pPr>
              <w:spacing w:after="0" w:line="240" w:lineRule="auto"/>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Vrijstaand</w:t>
            </w:r>
          </w:p>
        </w:tc>
        <w:tc>
          <w:tcPr>
            <w:tcW w:w="0" w:type="auto"/>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19.968</w:t>
            </w:r>
          </w:p>
        </w:tc>
        <w:tc>
          <w:tcPr>
            <w:tcW w:w="0" w:type="auto"/>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12.651</w:t>
            </w:r>
          </w:p>
        </w:tc>
        <w:tc>
          <w:tcPr>
            <w:tcW w:w="0" w:type="auto"/>
            <w:hideMark/>
          </w:tcPr>
          <w:p w:rsidR="00AE3FAC" w:rsidRPr="000A5B0F" w:rsidRDefault="00AE3FAC" w:rsidP="00AE3FAC">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12.861</w:t>
            </w:r>
          </w:p>
        </w:tc>
        <w:tc>
          <w:tcPr>
            <w:tcW w:w="0" w:type="auto"/>
            <w:hideMark/>
          </w:tcPr>
          <w:p w:rsidR="00AE3FAC" w:rsidRPr="000A5B0F" w:rsidRDefault="00AE3FAC" w:rsidP="00200E73">
            <w:pPr>
              <w:spacing w:after="0" w:line="240" w:lineRule="auto"/>
              <w:jc w:val="right"/>
              <w:rPr>
                <w:rFonts w:ascii="Times New Roman" w:eastAsia="Times New Roman" w:hAnsi="Times New Roman" w:cs="Times New Roman"/>
                <w:sz w:val="24"/>
                <w:szCs w:val="24"/>
                <w:lang w:eastAsia="nl-NL"/>
              </w:rPr>
            </w:pPr>
            <w:r w:rsidRPr="000A5B0F">
              <w:rPr>
                <w:rFonts w:ascii="Times New Roman" w:eastAsia="Times New Roman" w:hAnsi="Times New Roman" w:cs="Times New Roman"/>
                <w:sz w:val="24"/>
                <w:szCs w:val="24"/>
                <w:lang w:eastAsia="nl-NL"/>
              </w:rPr>
              <w:t>1</w:t>
            </w:r>
            <w:r w:rsidR="00200E73">
              <w:rPr>
                <w:rFonts w:ascii="Times New Roman" w:eastAsia="Times New Roman" w:hAnsi="Times New Roman" w:cs="Times New Roman"/>
                <w:sz w:val="24"/>
                <w:szCs w:val="24"/>
                <w:lang w:eastAsia="nl-NL"/>
              </w:rPr>
              <w:t>3</w:t>
            </w:r>
            <w:r w:rsidRPr="000A5B0F">
              <w:rPr>
                <w:rFonts w:ascii="Times New Roman" w:eastAsia="Times New Roman" w:hAnsi="Times New Roman" w:cs="Times New Roman"/>
                <w:sz w:val="24"/>
                <w:szCs w:val="24"/>
                <w:lang w:eastAsia="nl-NL"/>
              </w:rPr>
              <w:t>.</w:t>
            </w:r>
            <w:r w:rsidR="00200E73">
              <w:rPr>
                <w:rFonts w:ascii="Times New Roman" w:eastAsia="Times New Roman" w:hAnsi="Times New Roman" w:cs="Times New Roman"/>
                <w:sz w:val="24"/>
                <w:szCs w:val="24"/>
                <w:lang w:eastAsia="nl-NL"/>
              </w:rPr>
              <w:t>421</w:t>
            </w:r>
          </w:p>
        </w:tc>
      </w:tr>
    </w:tbl>
    <w:p w:rsidR="00AE3FAC" w:rsidRDefault="00AE3FAC" w:rsidP="00AE3FAC"/>
    <w:p w:rsidR="0037368B" w:rsidRDefault="007A2C96" w:rsidP="00AE3FAC">
      <w:r w:rsidRPr="007A2C96">
        <w:rPr>
          <w:noProof/>
          <w:lang w:eastAsia="nl-NL"/>
        </w:rPr>
        <w:drawing>
          <wp:inline distT="0" distB="0" distL="0" distR="0">
            <wp:extent cx="6143625" cy="3444875"/>
            <wp:effectExtent l="19050" t="0" r="28575" b="3175"/>
            <wp:docPr id="22" name="Grafie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A2C96" w:rsidRDefault="007A2C96" w:rsidP="00AE3FAC">
      <w:r w:rsidRPr="007A2C96">
        <w:rPr>
          <w:noProof/>
          <w:lang w:eastAsia="nl-NL"/>
        </w:rPr>
        <w:lastRenderedPageBreak/>
        <w:drawing>
          <wp:inline distT="0" distB="0" distL="0" distR="0">
            <wp:extent cx="5760720" cy="3710232"/>
            <wp:effectExtent l="19050" t="0" r="11430" b="4518"/>
            <wp:docPr id="23" name="Grafiek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7368B" w:rsidRDefault="0037368B" w:rsidP="00AE3FAC"/>
    <w:p w:rsidR="00FC2B02" w:rsidRDefault="00FC2B02" w:rsidP="00FC2B02">
      <w:pPr>
        <w:spacing w:after="0"/>
        <w:rPr>
          <w:rFonts w:ascii="Lucida Sans" w:hAnsi="Lucida Sans"/>
          <w:color w:val="333333"/>
          <w:sz w:val="18"/>
          <w:szCs w:val="18"/>
        </w:rPr>
      </w:pPr>
      <w:r>
        <w:rPr>
          <w:rFonts w:ascii="Lucida Sans" w:hAnsi="Lucida Sans"/>
          <w:color w:val="333333"/>
          <w:sz w:val="18"/>
          <w:szCs w:val="18"/>
        </w:rPr>
        <w:t>Kopers naar leeftijd, gedurende de eerste negen maanden van elk jaar, bron het Kadaster</w:t>
      </w:r>
    </w:p>
    <w:p w:rsidR="00FC2B02" w:rsidRDefault="00FC2B02" w:rsidP="00FC2B02">
      <w:pPr>
        <w:spacing w:after="0"/>
        <w:rPr>
          <w:rFonts w:ascii="Lucida Sans" w:hAnsi="Lucida Sans"/>
          <w:color w:val="333333"/>
          <w:sz w:val="18"/>
          <w:szCs w:val="18"/>
        </w:rPr>
      </w:pPr>
    </w:p>
    <w:tbl>
      <w:tblPr>
        <w:tblW w:w="6978" w:type="dxa"/>
        <w:tblInd w:w="70" w:type="dxa"/>
        <w:tblCellMar>
          <w:left w:w="70" w:type="dxa"/>
          <w:right w:w="70" w:type="dxa"/>
        </w:tblCellMar>
        <w:tblLook w:val="04A0"/>
      </w:tblPr>
      <w:tblGrid>
        <w:gridCol w:w="976"/>
        <w:gridCol w:w="976"/>
        <w:gridCol w:w="976"/>
        <w:gridCol w:w="976"/>
        <w:gridCol w:w="976"/>
        <w:gridCol w:w="976"/>
        <w:gridCol w:w="146"/>
        <w:gridCol w:w="976"/>
      </w:tblGrid>
      <w:tr w:rsidR="00FC2B02" w:rsidRPr="009940EC" w:rsidTr="00FC2B02">
        <w:trPr>
          <w:trHeight w:val="300"/>
        </w:trPr>
        <w:tc>
          <w:tcPr>
            <w:tcW w:w="976" w:type="dxa"/>
            <w:tcBorders>
              <w:top w:val="single" w:sz="4" w:space="0" w:color="auto"/>
              <w:left w:val="nil"/>
              <w:bottom w:val="single" w:sz="4" w:space="0" w:color="auto"/>
              <w:right w:val="nil"/>
            </w:tcBorders>
            <w:shd w:val="clear" w:color="auto" w:fill="auto"/>
            <w:noWrap/>
            <w:vAlign w:val="bottom"/>
            <w:hideMark/>
          </w:tcPr>
          <w:p w:rsidR="00FC2B02" w:rsidRPr="009940EC" w:rsidRDefault="00FC2B02" w:rsidP="00FC2B02">
            <w:pPr>
              <w:spacing w:after="0" w:line="240" w:lineRule="auto"/>
              <w:jc w:val="right"/>
              <w:rPr>
                <w:rFonts w:ascii="Calibri" w:eastAsia="Times New Roman" w:hAnsi="Calibri" w:cs="Calibri"/>
                <w:b/>
                <w:bCs/>
                <w:color w:val="000000"/>
                <w:lang w:eastAsia="nl-NL"/>
              </w:rPr>
            </w:pPr>
            <w:r w:rsidRPr="009940EC">
              <w:rPr>
                <w:rFonts w:ascii="Calibri" w:eastAsia="Times New Roman" w:hAnsi="Calibri" w:cs="Calibri"/>
                <w:b/>
                <w:bCs/>
                <w:color w:val="000000"/>
                <w:lang w:eastAsia="nl-NL"/>
              </w:rPr>
              <w:t>0 - 25</w:t>
            </w:r>
          </w:p>
        </w:tc>
        <w:tc>
          <w:tcPr>
            <w:tcW w:w="976" w:type="dxa"/>
            <w:tcBorders>
              <w:top w:val="single" w:sz="4" w:space="0" w:color="auto"/>
              <w:left w:val="nil"/>
              <w:bottom w:val="single" w:sz="4" w:space="0" w:color="auto"/>
              <w:right w:val="nil"/>
            </w:tcBorders>
            <w:shd w:val="clear" w:color="auto" w:fill="auto"/>
            <w:noWrap/>
            <w:vAlign w:val="bottom"/>
            <w:hideMark/>
          </w:tcPr>
          <w:p w:rsidR="00FC2B02" w:rsidRPr="009940EC" w:rsidRDefault="00FC2B02" w:rsidP="00FC2B02">
            <w:pPr>
              <w:spacing w:after="0" w:line="240" w:lineRule="auto"/>
              <w:jc w:val="right"/>
              <w:rPr>
                <w:rFonts w:ascii="Calibri" w:eastAsia="Times New Roman" w:hAnsi="Calibri" w:cs="Calibri"/>
                <w:b/>
                <w:bCs/>
                <w:color w:val="000000"/>
                <w:lang w:eastAsia="nl-NL"/>
              </w:rPr>
            </w:pPr>
            <w:r w:rsidRPr="009940EC">
              <w:rPr>
                <w:rFonts w:ascii="Calibri" w:eastAsia="Times New Roman" w:hAnsi="Calibri" w:cs="Calibri"/>
                <w:b/>
                <w:bCs/>
                <w:color w:val="000000"/>
                <w:lang w:eastAsia="nl-NL"/>
              </w:rPr>
              <w:t>25 - 35</w:t>
            </w:r>
          </w:p>
        </w:tc>
        <w:tc>
          <w:tcPr>
            <w:tcW w:w="976" w:type="dxa"/>
            <w:tcBorders>
              <w:top w:val="single" w:sz="4" w:space="0" w:color="auto"/>
              <w:left w:val="nil"/>
              <w:bottom w:val="single" w:sz="4" w:space="0" w:color="auto"/>
              <w:right w:val="nil"/>
            </w:tcBorders>
            <w:shd w:val="clear" w:color="auto" w:fill="auto"/>
            <w:noWrap/>
            <w:vAlign w:val="bottom"/>
            <w:hideMark/>
          </w:tcPr>
          <w:p w:rsidR="00FC2B02" w:rsidRPr="009940EC" w:rsidRDefault="00FC2B02" w:rsidP="00FC2B02">
            <w:pPr>
              <w:spacing w:after="0" w:line="240" w:lineRule="auto"/>
              <w:jc w:val="right"/>
              <w:rPr>
                <w:rFonts w:ascii="Calibri" w:eastAsia="Times New Roman" w:hAnsi="Calibri" w:cs="Calibri"/>
                <w:b/>
                <w:bCs/>
                <w:color w:val="000000"/>
                <w:lang w:eastAsia="nl-NL"/>
              </w:rPr>
            </w:pPr>
            <w:r w:rsidRPr="009940EC">
              <w:rPr>
                <w:rFonts w:ascii="Calibri" w:eastAsia="Times New Roman" w:hAnsi="Calibri" w:cs="Calibri"/>
                <w:b/>
                <w:bCs/>
                <w:color w:val="000000"/>
                <w:lang w:eastAsia="nl-NL"/>
              </w:rPr>
              <w:t>35 - 45</w:t>
            </w:r>
          </w:p>
        </w:tc>
        <w:tc>
          <w:tcPr>
            <w:tcW w:w="976" w:type="dxa"/>
            <w:tcBorders>
              <w:top w:val="single" w:sz="4" w:space="0" w:color="auto"/>
              <w:left w:val="nil"/>
              <w:bottom w:val="single" w:sz="4" w:space="0" w:color="auto"/>
              <w:right w:val="nil"/>
            </w:tcBorders>
            <w:shd w:val="clear" w:color="auto" w:fill="auto"/>
            <w:noWrap/>
            <w:vAlign w:val="bottom"/>
            <w:hideMark/>
          </w:tcPr>
          <w:p w:rsidR="00FC2B02" w:rsidRPr="009940EC" w:rsidRDefault="00FC2B02" w:rsidP="00FC2B02">
            <w:pPr>
              <w:spacing w:after="0" w:line="240" w:lineRule="auto"/>
              <w:jc w:val="right"/>
              <w:rPr>
                <w:rFonts w:ascii="Calibri" w:eastAsia="Times New Roman" w:hAnsi="Calibri" w:cs="Calibri"/>
                <w:b/>
                <w:bCs/>
                <w:color w:val="000000"/>
                <w:lang w:eastAsia="nl-NL"/>
              </w:rPr>
            </w:pPr>
            <w:r w:rsidRPr="009940EC">
              <w:rPr>
                <w:rFonts w:ascii="Calibri" w:eastAsia="Times New Roman" w:hAnsi="Calibri" w:cs="Calibri"/>
                <w:b/>
                <w:bCs/>
                <w:color w:val="000000"/>
                <w:lang w:eastAsia="nl-NL"/>
              </w:rPr>
              <w:t>45 - 55</w:t>
            </w:r>
          </w:p>
        </w:tc>
        <w:tc>
          <w:tcPr>
            <w:tcW w:w="976" w:type="dxa"/>
            <w:tcBorders>
              <w:top w:val="single" w:sz="4" w:space="0" w:color="auto"/>
              <w:left w:val="nil"/>
              <w:bottom w:val="single" w:sz="4" w:space="0" w:color="auto"/>
              <w:right w:val="nil"/>
            </w:tcBorders>
            <w:shd w:val="clear" w:color="auto" w:fill="auto"/>
            <w:noWrap/>
            <w:vAlign w:val="bottom"/>
            <w:hideMark/>
          </w:tcPr>
          <w:p w:rsidR="00FC2B02" w:rsidRPr="009940EC" w:rsidRDefault="00FC2B02" w:rsidP="00FC2B02">
            <w:pPr>
              <w:spacing w:after="0" w:line="240" w:lineRule="auto"/>
              <w:jc w:val="right"/>
              <w:rPr>
                <w:rFonts w:ascii="Calibri" w:eastAsia="Times New Roman" w:hAnsi="Calibri" w:cs="Calibri"/>
                <w:b/>
                <w:bCs/>
                <w:color w:val="000000"/>
                <w:lang w:eastAsia="nl-NL"/>
              </w:rPr>
            </w:pPr>
            <w:r w:rsidRPr="009940EC">
              <w:rPr>
                <w:rFonts w:ascii="Calibri" w:eastAsia="Times New Roman" w:hAnsi="Calibri" w:cs="Calibri"/>
                <w:b/>
                <w:bCs/>
                <w:color w:val="000000"/>
                <w:lang w:eastAsia="nl-NL"/>
              </w:rPr>
              <w:t>55 - 65</w:t>
            </w:r>
          </w:p>
        </w:tc>
        <w:tc>
          <w:tcPr>
            <w:tcW w:w="976" w:type="dxa"/>
            <w:tcBorders>
              <w:top w:val="single" w:sz="4" w:space="0" w:color="auto"/>
              <w:left w:val="nil"/>
              <w:bottom w:val="single" w:sz="4" w:space="0" w:color="auto"/>
              <w:right w:val="nil"/>
            </w:tcBorders>
            <w:shd w:val="clear" w:color="auto" w:fill="auto"/>
            <w:noWrap/>
            <w:vAlign w:val="bottom"/>
            <w:hideMark/>
          </w:tcPr>
          <w:p w:rsidR="00FC2B02" w:rsidRPr="009940EC" w:rsidRDefault="00FC2B02" w:rsidP="00FC2B02">
            <w:pPr>
              <w:spacing w:after="0" w:line="240" w:lineRule="auto"/>
              <w:jc w:val="right"/>
              <w:rPr>
                <w:rFonts w:ascii="Calibri" w:eastAsia="Times New Roman" w:hAnsi="Calibri" w:cs="Calibri"/>
                <w:b/>
                <w:bCs/>
                <w:color w:val="000000"/>
                <w:lang w:eastAsia="nl-NL"/>
              </w:rPr>
            </w:pPr>
            <w:r w:rsidRPr="009940EC">
              <w:rPr>
                <w:rFonts w:ascii="Calibri" w:eastAsia="Times New Roman" w:hAnsi="Calibri" w:cs="Calibri"/>
                <w:b/>
                <w:bCs/>
                <w:color w:val="000000"/>
                <w:lang w:eastAsia="nl-NL"/>
              </w:rPr>
              <w:t>&gt; 65</w:t>
            </w:r>
          </w:p>
        </w:tc>
        <w:tc>
          <w:tcPr>
            <w:tcW w:w="146" w:type="dxa"/>
            <w:tcBorders>
              <w:top w:val="nil"/>
              <w:left w:val="nil"/>
              <w:bottom w:val="nil"/>
              <w:right w:val="nil"/>
            </w:tcBorders>
            <w:shd w:val="clear" w:color="auto" w:fill="auto"/>
            <w:noWrap/>
            <w:vAlign w:val="bottom"/>
            <w:hideMark/>
          </w:tcPr>
          <w:p w:rsidR="00FC2B02" w:rsidRPr="009940EC" w:rsidRDefault="00FC2B02" w:rsidP="00FC2B02">
            <w:pPr>
              <w:spacing w:after="0" w:line="240" w:lineRule="auto"/>
              <w:rPr>
                <w:rFonts w:ascii="Calibri" w:eastAsia="Times New Roman" w:hAnsi="Calibri" w:cs="Calibri"/>
                <w:color w:val="000000"/>
                <w:lang w:eastAsia="nl-NL"/>
              </w:rPr>
            </w:pPr>
          </w:p>
        </w:tc>
        <w:tc>
          <w:tcPr>
            <w:tcW w:w="976" w:type="dxa"/>
            <w:tcBorders>
              <w:top w:val="single" w:sz="4" w:space="0" w:color="auto"/>
              <w:left w:val="nil"/>
              <w:bottom w:val="single" w:sz="4" w:space="0" w:color="auto"/>
              <w:right w:val="nil"/>
            </w:tcBorders>
            <w:shd w:val="clear" w:color="auto" w:fill="auto"/>
            <w:noWrap/>
            <w:vAlign w:val="bottom"/>
            <w:hideMark/>
          </w:tcPr>
          <w:p w:rsidR="00FC2B02" w:rsidRPr="009940EC" w:rsidRDefault="00FC2B02" w:rsidP="00FC2B02">
            <w:pPr>
              <w:spacing w:after="0" w:line="240" w:lineRule="auto"/>
              <w:jc w:val="right"/>
              <w:rPr>
                <w:rFonts w:ascii="Calibri" w:eastAsia="Times New Roman" w:hAnsi="Calibri" w:cs="Calibri"/>
                <w:b/>
                <w:bCs/>
                <w:color w:val="000000"/>
                <w:lang w:eastAsia="nl-NL"/>
              </w:rPr>
            </w:pPr>
            <w:r>
              <w:rPr>
                <w:rFonts w:ascii="Calibri" w:eastAsia="Times New Roman" w:hAnsi="Calibri" w:cs="Calibri"/>
                <w:b/>
                <w:bCs/>
                <w:color w:val="000000"/>
                <w:lang w:eastAsia="nl-NL"/>
              </w:rPr>
              <w:t xml:space="preserve">Jaar        </w:t>
            </w:r>
            <w:r w:rsidRPr="009940EC">
              <w:rPr>
                <w:rFonts w:ascii="Calibri" w:eastAsia="Times New Roman" w:hAnsi="Calibri" w:cs="Calibri"/>
                <w:b/>
                <w:bCs/>
                <w:color w:val="000000"/>
                <w:lang w:eastAsia="nl-NL"/>
              </w:rPr>
              <w:t> </w:t>
            </w:r>
          </w:p>
        </w:tc>
      </w:tr>
      <w:tr w:rsidR="00FC2B02" w:rsidRPr="009940EC" w:rsidTr="00FC2B02">
        <w:trPr>
          <w:trHeight w:val="300"/>
        </w:trPr>
        <w:tc>
          <w:tcPr>
            <w:tcW w:w="976" w:type="dxa"/>
            <w:tcBorders>
              <w:top w:val="nil"/>
              <w:left w:val="nil"/>
              <w:bottom w:val="nil"/>
              <w:right w:val="nil"/>
            </w:tcBorders>
            <w:shd w:val="clear" w:color="auto" w:fill="auto"/>
            <w:noWrap/>
            <w:vAlign w:val="bottom"/>
            <w:hideMark/>
          </w:tcPr>
          <w:p w:rsidR="00FC2B02" w:rsidRPr="009940EC" w:rsidRDefault="00FC2B02" w:rsidP="00FC2B02">
            <w:pPr>
              <w:spacing w:after="0" w:line="240" w:lineRule="auto"/>
              <w:jc w:val="right"/>
              <w:rPr>
                <w:rFonts w:ascii="Calibri" w:eastAsia="Times New Roman" w:hAnsi="Calibri" w:cs="Calibri"/>
                <w:color w:val="000000"/>
                <w:lang w:eastAsia="nl-NL"/>
              </w:rPr>
            </w:pPr>
            <w:r w:rsidRPr="009940EC">
              <w:rPr>
                <w:rFonts w:ascii="Calibri" w:eastAsia="Times New Roman" w:hAnsi="Calibri" w:cs="Calibri"/>
                <w:color w:val="000000"/>
                <w:lang w:eastAsia="nl-NL"/>
              </w:rPr>
              <w:t>20,3%</w:t>
            </w:r>
          </w:p>
        </w:tc>
        <w:tc>
          <w:tcPr>
            <w:tcW w:w="976" w:type="dxa"/>
            <w:tcBorders>
              <w:top w:val="nil"/>
              <w:left w:val="nil"/>
              <w:bottom w:val="nil"/>
              <w:right w:val="nil"/>
            </w:tcBorders>
            <w:shd w:val="clear" w:color="auto" w:fill="auto"/>
            <w:noWrap/>
            <w:vAlign w:val="bottom"/>
            <w:hideMark/>
          </w:tcPr>
          <w:p w:rsidR="00FC2B02" w:rsidRPr="009940EC" w:rsidRDefault="00FC2B02" w:rsidP="00FC2B02">
            <w:pPr>
              <w:spacing w:after="0" w:line="240" w:lineRule="auto"/>
              <w:jc w:val="right"/>
              <w:rPr>
                <w:rFonts w:ascii="Calibri" w:eastAsia="Times New Roman" w:hAnsi="Calibri" w:cs="Calibri"/>
                <w:color w:val="000000"/>
                <w:lang w:eastAsia="nl-NL"/>
              </w:rPr>
            </w:pPr>
            <w:r w:rsidRPr="009940EC">
              <w:rPr>
                <w:rFonts w:ascii="Calibri" w:eastAsia="Times New Roman" w:hAnsi="Calibri" w:cs="Calibri"/>
                <w:color w:val="000000"/>
                <w:lang w:eastAsia="nl-NL"/>
              </w:rPr>
              <w:t>40,1%</w:t>
            </w:r>
          </w:p>
        </w:tc>
        <w:tc>
          <w:tcPr>
            <w:tcW w:w="976" w:type="dxa"/>
            <w:tcBorders>
              <w:top w:val="nil"/>
              <w:left w:val="nil"/>
              <w:bottom w:val="nil"/>
              <w:right w:val="nil"/>
            </w:tcBorders>
            <w:shd w:val="clear" w:color="auto" w:fill="auto"/>
            <w:noWrap/>
            <w:vAlign w:val="bottom"/>
            <w:hideMark/>
          </w:tcPr>
          <w:p w:rsidR="00FC2B02" w:rsidRPr="009940EC" w:rsidRDefault="00FC2B02" w:rsidP="00FC2B02">
            <w:pPr>
              <w:spacing w:after="0" w:line="240" w:lineRule="auto"/>
              <w:jc w:val="right"/>
              <w:rPr>
                <w:rFonts w:ascii="Calibri" w:eastAsia="Times New Roman" w:hAnsi="Calibri" w:cs="Calibri"/>
                <w:color w:val="000000"/>
                <w:lang w:eastAsia="nl-NL"/>
              </w:rPr>
            </w:pPr>
            <w:r w:rsidRPr="009940EC">
              <w:rPr>
                <w:rFonts w:ascii="Calibri" w:eastAsia="Times New Roman" w:hAnsi="Calibri" w:cs="Calibri"/>
                <w:color w:val="000000"/>
                <w:lang w:eastAsia="nl-NL"/>
              </w:rPr>
              <w:t>20,6%</w:t>
            </w:r>
          </w:p>
        </w:tc>
        <w:tc>
          <w:tcPr>
            <w:tcW w:w="976" w:type="dxa"/>
            <w:tcBorders>
              <w:top w:val="nil"/>
              <w:left w:val="nil"/>
              <w:bottom w:val="nil"/>
              <w:right w:val="nil"/>
            </w:tcBorders>
            <w:shd w:val="clear" w:color="auto" w:fill="auto"/>
            <w:noWrap/>
            <w:vAlign w:val="bottom"/>
            <w:hideMark/>
          </w:tcPr>
          <w:p w:rsidR="00FC2B02" w:rsidRPr="009940EC" w:rsidRDefault="00FC2B02" w:rsidP="00FC2B02">
            <w:pPr>
              <w:spacing w:after="0" w:line="240" w:lineRule="auto"/>
              <w:jc w:val="right"/>
              <w:rPr>
                <w:rFonts w:ascii="Calibri" w:eastAsia="Times New Roman" w:hAnsi="Calibri" w:cs="Calibri"/>
                <w:color w:val="000000"/>
                <w:lang w:eastAsia="nl-NL"/>
              </w:rPr>
            </w:pPr>
            <w:r w:rsidRPr="009940EC">
              <w:rPr>
                <w:rFonts w:ascii="Calibri" w:eastAsia="Times New Roman" w:hAnsi="Calibri" w:cs="Calibri"/>
                <w:color w:val="000000"/>
                <w:lang w:eastAsia="nl-NL"/>
              </w:rPr>
              <w:t>11,0%</w:t>
            </w:r>
          </w:p>
        </w:tc>
        <w:tc>
          <w:tcPr>
            <w:tcW w:w="976" w:type="dxa"/>
            <w:tcBorders>
              <w:top w:val="nil"/>
              <w:left w:val="nil"/>
              <w:bottom w:val="nil"/>
              <w:right w:val="nil"/>
            </w:tcBorders>
            <w:shd w:val="clear" w:color="auto" w:fill="auto"/>
            <w:noWrap/>
            <w:vAlign w:val="bottom"/>
            <w:hideMark/>
          </w:tcPr>
          <w:p w:rsidR="00FC2B02" w:rsidRPr="009940EC" w:rsidRDefault="00FC2B02" w:rsidP="00FC2B02">
            <w:pPr>
              <w:spacing w:after="0" w:line="240" w:lineRule="auto"/>
              <w:jc w:val="right"/>
              <w:rPr>
                <w:rFonts w:ascii="Calibri" w:eastAsia="Times New Roman" w:hAnsi="Calibri" w:cs="Calibri"/>
                <w:color w:val="000000"/>
                <w:lang w:eastAsia="nl-NL"/>
              </w:rPr>
            </w:pPr>
            <w:r w:rsidRPr="009940EC">
              <w:rPr>
                <w:rFonts w:ascii="Calibri" w:eastAsia="Times New Roman" w:hAnsi="Calibri" w:cs="Calibri"/>
                <w:color w:val="000000"/>
                <w:lang w:eastAsia="nl-NL"/>
              </w:rPr>
              <w:t>5,2%</w:t>
            </w:r>
          </w:p>
        </w:tc>
        <w:tc>
          <w:tcPr>
            <w:tcW w:w="976" w:type="dxa"/>
            <w:tcBorders>
              <w:top w:val="nil"/>
              <w:left w:val="nil"/>
              <w:bottom w:val="nil"/>
              <w:right w:val="nil"/>
            </w:tcBorders>
            <w:shd w:val="clear" w:color="auto" w:fill="auto"/>
            <w:noWrap/>
            <w:vAlign w:val="bottom"/>
            <w:hideMark/>
          </w:tcPr>
          <w:p w:rsidR="00FC2B02" w:rsidRPr="009940EC" w:rsidRDefault="00FC2B02" w:rsidP="00FC2B02">
            <w:pPr>
              <w:spacing w:after="0" w:line="240" w:lineRule="auto"/>
              <w:jc w:val="right"/>
              <w:rPr>
                <w:rFonts w:ascii="Calibri" w:eastAsia="Times New Roman" w:hAnsi="Calibri" w:cs="Calibri"/>
                <w:color w:val="000000"/>
                <w:lang w:eastAsia="nl-NL"/>
              </w:rPr>
            </w:pPr>
            <w:r w:rsidRPr="009940EC">
              <w:rPr>
                <w:rFonts w:ascii="Calibri" w:eastAsia="Times New Roman" w:hAnsi="Calibri" w:cs="Calibri"/>
                <w:color w:val="000000"/>
                <w:lang w:eastAsia="nl-NL"/>
              </w:rPr>
              <w:t>2,8%</w:t>
            </w:r>
          </w:p>
        </w:tc>
        <w:tc>
          <w:tcPr>
            <w:tcW w:w="146" w:type="dxa"/>
            <w:tcBorders>
              <w:top w:val="nil"/>
              <w:left w:val="nil"/>
              <w:bottom w:val="nil"/>
              <w:right w:val="nil"/>
            </w:tcBorders>
            <w:shd w:val="clear" w:color="auto" w:fill="auto"/>
            <w:noWrap/>
            <w:vAlign w:val="bottom"/>
            <w:hideMark/>
          </w:tcPr>
          <w:p w:rsidR="00FC2B02" w:rsidRPr="009940EC" w:rsidRDefault="00FC2B02" w:rsidP="00FC2B02">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rsidR="00FC2B02" w:rsidRPr="009940EC" w:rsidRDefault="00FC2B02" w:rsidP="00FC2B02">
            <w:pPr>
              <w:spacing w:after="0" w:line="240" w:lineRule="auto"/>
              <w:rPr>
                <w:rFonts w:ascii="Calibri" w:eastAsia="Times New Roman" w:hAnsi="Calibri" w:cs="Calibri"/>
                <w:color w:val="000000"/>
                <w:lang w:eastAsia="nl-NL"/>
              </w:rPr>
            </w:pPr>
            <w:r w:rsidRPr="009940EC">
              <w:rPr>
                <w:rFonts w:ascii="Calibri" w:eastAsia="Times New Roman" w:hAnsi="Calibri" w:cs="Calibri"/>
                <w:color w:val="000000"/>
                <w:lang w:eastAsia="nl-NL"/>
              </w:rPr>
              <w:t>2009</w:t>
            </w:r>
          </w:p>
        </w:tc>
      </w:tr>
      <w:tr w:rsidR="00FC2B02" w:rsidRPr="009940EC" w:rsidTr="00FC2B02">
        <w:trPr>
          <w:trHeight w:val="300"/>
        </w:trPr>
        <w:tc>
          <w:tcPr>
            <w:tcW w:w="976" w:type="dxa"/>
            <w:tcBorders>
              <w:top w:val="nil"/>
              <w:left w:val="nil"/>
              <w:bottom w:val="nil"/>
              <w:right w:val="nil"/>
            </w:tcBorders>
            <w:shd w:val="clear" w:color="auto" w:fill="auto"/>
            <w:noWrap/>
            <w:vAlign w:val="bottom"/>
            <w:hideMark/>
          </w:tcPr>
          <w:p w:rsidR="00FC2B02" w:rsidRPr="009940EC" w:rsidRDefault="00FC2B02" w:rsidP="00FC2B02">
            <w:pPr>
              <w:spacing w:after="0" w:line="240" w:lineRule="auto"/>
              <w:jc w:val="right"/>
              <w:rPr>
                <w:rFonts w:ascii="Calibri" w:eastAsia="Times New Roman" w:hAnsi="Calibri" w:cs="Calibri"/>
                <w:color w:val="000000"/>
                <w:lang w:eastAsia="nl-NL"/>
              </w:rPr>
            </w:pPr>
            <w:r w:rsidRPr="009940EC">
              <w:rPr>
                <w:rFonts w:ascii="Calibri" w:eastAsia="Times New Roman" w:hAnsi="Calibri" w:cs="Calibri"/>
                <w:color w:val="000000"/>
                <w:lang w:eastAsia="nl-NL"/>
              </w:rPr>
              <w:t>18,1%</w:t>
            </w:r>
          </w:p>
        </w:tc>
        <w:tc>
          <w:tcPr>
            <w:tcW w:w="976" w:type="dxa"/>
            <w:tcBorders>
              <w:top w:val="nil"/>
              <w:left w:val="nil"/>
              <w:bottom w:val="nil"/>
              <w:right w:val="nil"/>
            </w:tcBorders>
            <w:shd w:val="clear" w:color="auto" w:fill="auto"/>
            <w:noWrap/>
            <w:vAlign w:val="bottom"/>
            <w:hideMark/>
          </w:tcPr>
          <w:p w:rsidR="00FC2B02" w:rsidRPr="009940EC" w:rsidRDefault="00FC2B02" w:rsidP="00FC2B02">
            <w:pPr>
              <w:spacing w:after="0" w:line="240" w:lineRule="auto"/>
              <w:jc w:val="right"/>
              <w:rPr>
                <w:rFonts w:ascii="Calibri" w:eastAsia="Times New Roman" w:hAnsi="Calibri" w:cs="Calibri"/>
                <w:color w:val="000000"/>
                <w:lang w:eastAsia="nl-NL"/>
              </w:rPr>
            </w:pPr>
            <w:r w:rsidRPr="009940EC">
              <w:rPr>
                <w:rFonts w:ascii="Calibri" w:eastAsia="Times New Roman" w:hAnsi="Calibri" w:cs="Calibri"/>
                <w:color w:val="000000"/>
                <w:lang w:eastAsia="nl-NL"/>
              </w:rPr>
              <w:t>40,5%</w:t>
            </w:r>
          </w:p>
        </w:tc>
        <w:tc>
          <w:tcPr>
            <w:tcW w:w="976" w:type="dxa"/>
            <w:tcBorders>
              <w:top w:val="nil"/>
              <w:left w:val="nil"/>
              <w:bottom w:val="nil"/>
              <w:right w:val="nil"/>
            </w:tcBorders>
            <w:shd w:val="clear" w:color="auto" w:fill="auto"/>
            <w:noWrap/>
            <w:vAlign w:val="bottom"/>
            <w:hideMark/>
          </w:tcPr>
          <w:p w:rsidR="00FC2B02" w:rsidRPr="009940EC" w:rsidRDefault="00FC2B02" w:rsidP="00FC2B02">
            <w:pPr>
              <w:spacing w:after="0" w:line="240" w:lineRule="auto"/>
              <w:jc w:val="right"/>
              <w:rPr>
                <w:rFonts w:ascii="Calibri" w:eastAsia="Times New Roman" w:hAnsi="Calibri" w:cs="Calibri"/>
                <w:color w:val="000000"/>
                <w:lang w:eastAsia="nl-NL"/>
              </w:rPr>
            </w:pPr>
            <w:r w:rsidRPr="009940EC">
              <w:rPr>
                <w:rFonts w:ascii="Calibri" w:eastAsia="Times New Roman" w:hAnsi="Calibri" w:cs="Calibri"/>
                <w:color w:val="000000"/>
                <w:lang w:eastAsia="nl-NL"/>
              </w:rPr>
              <w:t>20,7%</w:t>
            </w:r>
          </w:p>
        </w:tc>
        <w:tc>
          <w:tcPr>
            <w:tcW w:w="976" w:type="dxa"/>
            <w:tcBorders>
              <w:top w:val="nil"/>
              <w:left w:val="nil"/>
              <w:bottom w:val="nil"/>
              <w:right w:val="nil"/>
            </w:tcBorders>
            <w:shd w:val="clear" w:color="auto" w:fill="auto"/>
            <w:noWrap/>
            <w:vAlign w:val="bottom"/>
            <w:hideMark/>
          </w:tcPr>
          <w:p w:rsidR="00FC2B02" w:rsidRPr="009940EC" w:rsidRDefault="00FC2B02" w:rsidP="00FC2B02">
            <w:pPr>
              <w:spacing w:after="0" w:line="240" w:lineRule="auto"/>
              <w:jc w:val="right"/>
              <w:rPr>
                <w:rFonts w:ascii="Calibri" w:eastAsia="Times New Roman" w:hAnsi="Calibri" w:cs="Calibri"/>
                <w:color w:val="000000"/>
                <w:lang w:eastAsia="nl-NL"/>
              </w:rPr>
            </w:pPr>
            <w:r w:rsidRPr="009940EC">
              <w:rPr>
                <w:rFonts w:ascii="Calibri" w:eastAsia="Times New Roman" w:hAnsi="Calibri" w:cs="Calibri"/>
                <w:color w:val="000000"/>
                <w:lang w:eastAsia="nl-NL"/>
              </w:rPr>
              <w:t>11,8%</w:t>
            </w:r>
          </w:p>
        </w:tc>
        <w:tc>
          <w:tcPr>
            <w:tcW w:w="976" w:type="dxa"/>
            <w:tcBorders>
              <w:top w:val="nil"/>
              <w:left w:val="nil"/>
              <w:bottom w:val="nil"/>
              <w:right w:val="nil"/>
            </w:tcBorders>
            <w:shd w:val="clear" w:color="auto" w:fill="auto"/>
            <w:noWrap/>
            <w:vAlign w:val="bottom"/>
            <w:hideMark/>
          </w:tcPr>
          <w:p w:rsidR="00FC2B02" w:rsidRPr="009940EC" w:rsidRDefault="00FC2B02" w:rsidP="00FC2B02">
            <w:pPr>
              <w:spacing w:after="0" w:line="240" w:lineRule="auto"/>
              <w:jc w:val="right"/>
              <w:rPr>
                <w:rFonts w:ascii="Calibri" w:eastAsia="Times New Roman" w:hAnsi="Calibri" w:cs="Calibri"/>
                <w:color w:val="000000"/>
                <w:lang w:eastAsia="nl-NL"/>
              </w:rPr>
            </w:pPr>
            <w:r w:rsidRPr="009940EC">
              <w:rPr>
                <w:rFonts w:ascii="Calibri" w:eastAsia="Times New Roman" w:hAnsi="Calibri" w:cs="Calibri"/>
                <w:color w:val="000000"/>
                <w:lang w:eastAsia="nl-NL"/>
              </w:rPr>
              <w:t>5,7%</w:t>
            </w:r>
          </w:p>
        </w:tc>
        <w:tc>
          <w:tcPr>
            <w:tcW w:w="976" w:type="dxa"/>
            <w:tcBorders>
              <w:top w:val="nil"/>
              <w:left w:val="nil"/>
              <w:bottom w:val="nil"/>
              <w:right w:val="nil"/>
            </w:tcBorders>
            <w:shd w:val="clear" w:color="auto" w:fill="auto"/>
            <w:noWrap/>
            <w:vAlign w:val="bottom"/>
            <w:hideMark/>
          </w:tcPr>
          <w:p w:rsidR="00FC2B02" w:rsidRPr="009940EC" w:rsidRDefault="00FC2B02" w:rsidP="00FC2B02">
            <w:pPr>
              <w:spacing w:after="0" w:line="240" w:lineRule="auto"/>
              <w:jc w:val="right"/>
              <w:rPr>
                <w:rFonts w:ascii="Calibri" w:eastAsia="Times New Roman" w:hAnsi="Calibri" w:cs="Calibri"/>
                <w:color w:val="000000"/>
                <w:lang w:eastAsia="nl-NL"/>
              </w:rPr>
            </w:pPr>
            <w:r w:rsidRPr="009940EC">
              <w:rPr>
                <w:rFonts w:ascii="Calibri" w:eastAsia="Times New Roman" w:hAnsi="Calibri" w:cs="Calibri"/>
                <w:color w:val="000000"/>
                <w:lang w:eastAsia="nl-NL"/>
              </w:rPr>
              <w:t>3,2%</w:t>
            </w:r>
          </w:p>
        </w:tc>
        <w:tc>
          <w:tcPr>
            <w:tcW w:w="146" w:type="dxa"/>
            <w:tcBorders>
              <w:top w:val="nil"/>
              <w:left w:val="nil"/>
              <w:bottom w:val="nil"/>
              <w:right w:val="nil"/>
            </w:tcBorders>
            <w:shd w:val="clear" w:color="auto" w:fill="auto"/>
            <w:noWrap/>
            <w:vAlign w:val="bottom"/>
            <w:hideMark/>
          </w:tcPr>
          <w:p w:rsidR="00FC2B02" w:rsidRPr="009940EC" w:rsidRDefault="00FC2B02" w:rsidP="00FC2B02">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rsidR="00FC2B02" w:rsidRPr="009940EC" w:rsidRDefault="00FC2B02" w:rsidP="00FC2B02">
            <w:pPr>
              <w:spacing w:after="0" w:line="240" w:lineRule="auto"/>
              <w:rPr>
                <w:rFonts w:ascii="Calibri" w:eastAsia="Times New Roman" w:hAnsi="Calibri" w:cs="Calibri"/>
                <w:color w:val="000000"/>
                <w:lang w:eastAsia="nl-NL"/>
              </w:rPr>
            </w:pPr>
            <w:r w:rsidRPr="009940EC">
              <w:rPr>
                <w:rFonts w:ascii="Calibri" w:eastAsia="Times New Roman" w:hAnsi="Calibri" w:cs="Calibri"/>
                <w:color w:val="000000"/>
                <w:lang w:eastAsia="nl-NL"/>
              </w:rPr>
              <w:t>2010</w:t>
            </w:r>
          </w:p>
        </w:tc>
      </w:tr>
      <w:tr w:rsidR="00FC2B02" w:rsidRPr="009940EC" w:rsidTr="00FC2B02">
        <w:trPr>
          <w:trHeight w:val="300"/>
        </w:trPr>
        <w:tc>
          <w:tcPr>
            <w:tcW w:w="976" w:type="dxa"/>
            <w:tcBorders>
              <w:top w:val="nil"/>
              <w:left w:val="nil"/>
              <w:bottom w:val="nil"/>
              <w:right w:val="nil"/>
            </w:tcBorders>
            <w:shd w:val="clear" w:color="auto" w:fill="auto"/>
            <w:noWrap/>
            <w:vAlign w:val="bottom"/>
            <w:hideMark/>
          </w:tcPr>
          <w:p w:rsidR="00FC2B02" w:rsidRPr="009940EC" w:rsidRDefault="00FC2B02" w:rsidP="00FC2B02">
            <w:pPr>
              <w:spacing w:after="0" w:line="240" w:lineRule="auto"/>
              <w:jc w:val="right"/>
              <w:rPr>
                <w:rFonts w:ascii="Calibri" w:eastAsia="Times New Roman" w:hAnsi="Calibri" w:cs="Calibri"/>
                <w:color w:val="000000"/>
                <w:lang w:eastAsia="nl-NL"/>
              </w:rPr>
            </w:pPr>
            <w:r w:rsidRPr="009940EC">
              <w:rPr>
                <w:rFonts w:ascii="Calibri" w:eastAsia="Times New Roman" w:hAnsi="Calibri" w:cs="Calibri"/>
                <w:color w:val="000000"/>
                <w:lang w:eastAsia="nl-NL"/>
              </w:rPr>
              <w:t>16,4%</w:t>
            </w:r>
          </w:p>
        </w:tc>
        <w:tc>
          <w:tcPr>
            <w:tcW w:w="976" w:type="dxa"/>
            <w:tcBorders>
              <w:top w:val="nil"/>
              <w:left w:val="nil"/>
              <w:bottom w:val="nil"/>
              <w:right w:val="nil"/>
            </w:tcBorders>
            <w:shd w:val="clear" w:color="auto" w:fill="auto"/>
            <w:noWrap/>
            <w:vAlign w:val="bottom"/>
            <w:hideMark/>
          </w:tcPr>
          <w:p w:rsidR="00FC2B02" w:rsidRPr="009940EC" w:rsidRDefault="00FC2B02" w:rsidP="00FC2B02">
            <w:pPr>
              <w:spacing w:after="0" w:line="240" w:lineRule="auto"/>
              <w:jc w:val="right"/>
              <w:rPr>
                <w:rFonts w:ascii="Calibri" w:eastAsia="Times New Roman" w:hAnsi="Calibri" w:cs="Calibri"/>
                <w:color w:val="000000"/>
                <w:lang w:eastAsia="nl-NL"/>
              </w:rPr>
            </w:pPr>
            <w:r w:rsidRPr="009940EC">
              <w:rPr>
                <w:rFonts w:ascii="Calibri" w:eastAsia="Times New Roman" w:hAnsi="Calibri" w:cs="Calibri"/>
                <w:color w:val="000000"/>
                <w:lang w:eastAsia="nl-NL"/>
              </w:rPr>
              <w:t>38,9%</w:t>
            </w:r>
          </w:p>
        </w:tc>
        <w:tc>
          <w:tcPr>
            <w:tcW w:w="976" w:type="dxa"/>
            <w:tcBorders>
              <w:top w:val="nil"/>
              <w:left w:val="nil"/>
              <w:bottom w:val="nil"/>
              <w:right w:val="nil"/>
            </w:tcBorders>
            <w:shd w:val="clear" w:color="auto" w:fill="auto"/>
            <w:noWrap/>
            <w:vAlign w:val="bottom"/>
            <w:hideMark/>
          </w:tcPr>
          <w:p w:rsidR="00FC2B02" w:rsidRPr="009940EC" w:rsidRDefault="00FC2B02" w:rsidP="00FC2B02">
            <w:pPr>
              <w:spacing w:after="0" w:line="240" w:lineRule="auto"/>
              <w:jc w:val="right"/>
              <w:rPr>
                <w:rFonts w:ascii="Calibri" w:eastAsia="Times New Roman" w:hAnsi="Calibri" w:cs="Calibri"/>
                <w:color w:val="000000"/>
                <w:lang w:eastAsia="nl-NL"/>
              </w:rPr>
            </w:pPr>
            <w:r w:rsidRPr="009940EC">
              <w:rPr>
                <w:rFonts w:ascii="Calibri" w:eastAsia="Times New Roman" w:hAnsi="Calibri" w:cs="Calibri"/>
                <w:color w:val="000000"/>
                <w:lang w:eastAsia="nl-NL"/>
              </w:rPr>
              <w:t>21,2%</w:t>
            </w:r>
          </w:p>
        </w:tc>
        <w:tc>
          <w:tcPr>
            <w:tcW w:w="976" w:type="dxa"/>
            <w:tcBorders>
              <w:top w:val="nil"/>
              <w:left w:val="nil"/>
              <w:bottom w:val="nil"/>
              <w:right w:val="nil"/>
            </w:tcBorders>
            <w:shd w:val="clear" w:color="auto" w:fill="auto"/>
            <w:noWrap/>
            <w:vAlign w:val="bottom"/>
            <w:hideMark/>
          </w:tcPr>
          <w:p w:rsidR="00FC2B02" w:rsidRPr="009940EC" w:rsidRDefault="00FC2B02" w:rsidP="00FC2B02">
            <w:pPr>
              <w:spacing w:after="0" w:line="240" w:lineRule="auto"/>
              <w:jc w:val="right"/>
              <w:rPr>
                <w:rFonts w:ascii="Calibri" w:eastAsia="Times New Roman" w:hAnsi="Calibri" w:cs="Calibri"/>
                <w:color w:val="000000"/>
                <w:lang w:eastAsia="nl-NL"/>
              </w:rPr>
            </w:pPr>
            <w:r w:rsidRPr="009940EC">
              <w:rPr>
                <w:rFonts w:ascii="Calibri" w:eastAsia="Times New Roman" w:hAnsi="Calibri" w:cs="Calibri"/>
                <w:color w:val="000000"/>
                <w:lang w:eastAsia="nl-NL"/>
              </w:rPr>
              <w:t>13,1%</w:t>
            </w:r>
          </w:p>
        </w:tc>
        <w:tc>
          <w:tcPr>
            <w:tcW w:w="976" w:type="dxa"/>
            <w:tcBorders>
              <w:top w:val="nil"/>
              <w:left w:val="nil"/>
              <w:bottom w:val="nil"/>
              <w:right w:val="nil"/>
            </w:tcBorders>
            <w:shd w:val="clear" w:color="auto" w:fill="auto"/>
            <w:noWrap/>
            <w:vAlign w:val="bottom"/>
            <w:hideMark/>
          </w:tcPr>
          <w:p w:rsidR="00FC2B02" w:rsidRPr="009940EC" w:rsidRDefault="00FC2B02" w:rsidP="00FC2B02">
            <w:pPr>
              <w:spacing w:after="0" w:line="240" w:lineRule="auto"/>
              <w:jc w:val="right"/>
              <w:rPr>
                <w:rFonts w:ascii="Calibri" w:eastAsia="Times New Roman" w:hAnsi="Calibri" w:cs="Calibri"/>
                <w:color w:val="000000"/>
                <w:lang w:eastAsia="nl-NL"/>
              </w:rPr>
            </w:pPr>
            <w:r w:rsidRPr="009940EC">
              <w:rPr>
                <w:rFonts w:ascii="Calibri" w:eastAsia="Times New Roman" w:hAnsi="Calibri" w:cs="Calibri"/>
                <w:color w:val="000000"/>
                <w:lang w:eastAsia="nl-NL"/>
              </w:rPr>
              <w:t>6,7%</w:t>
            </w:r>
          </w:p>
        </w:tc>
        <w:tc>
          <w:tcPr>
            <w:tcW w:w="976" w:type="dxa"/>
            <w:tcBorders>
              <w:top w:val="nil"/>
              <w:left w:val="nil"/>
              <w:bottom w:val="nil"/>
              <w:right w:val="nil"/>
            </w:tcBorders>
            <w:shd w:val="clear" w:color="auto" w:fill="auto"/>
            <w:noWrap/>
            <w:vAlign w:val="bottom"/>
            <w:hideMark/>
          </w:tcPr>
          <w:p w:rsidR="00FC2B02" w:rsidRPr="009940EC" w:rsidRDefault="00FC2B02" w:rsidP="00FC2B02">
            <w:pPr>
              <w:spacing w:after="0" w:line="240" w:lineRule="auto"/>
              <w:jc w:val="right"/>
              <w:rPr>
                <w:rFonts w:ascii="Calibri" w:eastAsia="Times New Roman" w:hAnsi="Calibri" w:cs="Calibri"/>
                <w:color w:val="000000"/>
                <w:lang w:eastAsia="nl-NL"/>
              </w:rPr>
            </w:pPr>
            <w:r w:rsidRPr="009940EC">
              <w:rPr>
                <w:rFonts w:ascii="Calibri" w:eastAsia="Times New Roman" w:hAnsi="Calibri" w:cs="Calibri"/>
                <w:color w:val="000000"/>
                <w:lang w:eastAsia="nl-NL"/>
              </w:rPr>
              <w:t>3,6%</w:t>
            </w:r>
          </w:p>
        </w:tc>
        <w:tc>
          <w:tcPr>
            <w:tcW w:w="146" w:type="dxa"/>
            <w:tcBorders>
              <w:top w:val="nil"/>
              <w:left w:val="nil"/>
              <w:bottom w:val="nil"/>
              <w:right w:val="nil"/>
            </w:tcBorders>
            <w:shd w:val="clear" w:color="auto" w:fill="auto"/>
            <w:noWrap/>
            <w:vAlign w:val="bottom"/>
            <w:hideMark/>
          </w:tcPr>
          <w:p w:rsidR="00FC2B02" w:rsidRPr="009940EC" w:rsidRDefault="00FC2B02" w:rsidP="00FC2B02">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rsidR="00FC2B02" w:rsidRPr="009940EC" w:rsidRDefault="00FC2B02" w:rsidP="00FC2B02">
            <w:pPr>
              <w:spacing w:after="0" w:line="240" w:lineRule="auto"/>
              <w:rPr>
                <w:rFonts w:ascii="Calibri" w:eastAsia="Times New Roman" w:hAnsi="Calibri" w:cs="Calibri"/>
                <w:color w:val="000000"/>
                <w:lang w:eastAsia="nl-NL"/>
              </w:rPr>
            </w:pPr>
            <w:r w:rsidRPr="009940EC">
              <w:rPr>
                <w:rFonts w:ascii="Calibri" w:eastAsia="Times New Roman" w:hAnsi="Calibri" w:cs="Calibri"/>
                <w:color w:val="000000"/>
                <w:lang w:eastAsia="nl-NL"/>
              </w:rPr>
              <w:t>2011</w:t>
            </w:r>
          </w:p>
        </w:tc>
      </w:tr>
    </w:tbl>
    <w:p w:rsidR="0048045F" w:rsidRDefault="001473A4" w:rsidP="001473A4">
      <w:pPr>
        <w:spacing w:after="0"/>
      </w:pPr>
      <w:r>
        <w:t xml:space="preserve">Ondanks oplopende prijzen (in 2011 was de koopsom elke maand hoger in vergelijking met </w:t>
      </w:r>
      <w:r w:rsidR="007F5A8E">
        <w:t xml:space="preserve"> 2010)</w:t>
      </w:r>
      <w:r>
        <w:t xml:space="preserve"> blijft de PBK index zich in neerwaartse richting voortbewegen. In </w:t>
      </w:r>
      <w:r w:rsidR="007F5A8E">
        <w:t>de</w:t>
      </w:r>
      <w:r>
        <w:t xml:space="preserve"> grafiek is goed te zien dat het verschil tussen index en absolute koopsom </w:t>
      </w:r>
      <w:r w:rsidR="00353421">
        <w:t xml:space="preserve">per maand en absoluut 6 maanden voortschrijdend, </w:t>
      </w:r>
      <w:r>
        <w:t xml:space="preserve">steeds groter wordt. Een </w:t>
      </w:r>
      <w:r w:rsidR="00AE4693">
        <w:t>volledige</w:t>
      </w:r>
      <w:r>
        <w:t xml:space="preserve"> verklaring is er niet.  </w:t>
      </w:r>
    </w:p>
    <w:p w:rsidR="00353421" w:rsidRDefault="00353421" w:rsidP="001473A4">
      <w:pPr>
        <w:spacing w:after="0"/>
      </w:pPr>
    </w:p>
    <w:p w:rsidR="00B9343E" w:rsidRDefault="00B9343E" w:rsidP="001473A4">
      <w:pPr>
        <w:spacing w:after="0"/>
      </w:pPr>
    </w:p>
    <w:p w:rsidR="00B9343E" w:rsidRDefault="00B9343E" w:rsidP="001473A4">
      <w:pPr>
        <w:spacing w:after="0"/>
      </w:pPr>
      <w:r w:rsidRPr="00B9343E">
        <w:rPr>
          <w:noProof/>
          <w:lang w:eastAsia="nl-NL"/>
        </w:rPr>
        <w:lastRenderedPageBreak/>
        <w:drawing>
          <wp:inline distT="0" distB="0" distL="0" distR="0">
            <wp:extent cx="6276975" cy="3763645"/>
            <wp:effectExtent l="19050" t="0" r="9525" b="8255"/>
            <wp:docPr id="16" name="Grafie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3419F" w:rsidRDefault="0063419F" w:rsidP="001473A4">
      <w:pPr>
        <w:spacing w:after="0"/>
      </w:pPr>
    </w:p>
    <w:p w:rsidR="008036A9" w:rsidRDefault="008036A9" w:rsidP="001473A4">
      <w:pPr>
        <w:spacing w:after="0"/>
      </w:pPr>
    </w:p>
    <w:p w:rsidR="008036A9" w:rsidRDefault="008036A9" w:rsidP="001473A4">
      <w:pPr>
        <w:spacing w:after="0"/>
      </w:pPr>
    </w:p>
    <w:tbl>
      <w:tblPr>
        <w:tblW w:w="0" w:type="auto"/>
        <w:tblCellSpacing w:w="15" w:type="dxa"/>
        <w:tblCellMar>
          <w:top w:w="15" w:type="dxa"/>
          <w:left w:w="15" w:type="dxa"/>
          <w:bottom w:w="15" w:type="dxa"/>
          <w:right w:w="15" w:type="dxa"/>
        </w:tblCellMar>
        <w:tblLook w:val="04A0"/>
      </w:tblPr>
      <w:tblGrid>
        <w:gridCol w:w="96"/>
      </w:tblGrid>
      <w:tr w:rsidR="001473A4" w:rsidRPr="001473A4" w:rsidTr="001473A4">
        <w:trPr>
          <w:tblCellSpacing w:w="15" w:type="dxa"/>
        </w:trPr>
        <w:tc>
          <w:tcPr>
            <w:tcW w:w="0" w:type="auto"/>
            <w:vAlign w:val="center"/>
            <w:hideMark/>
          </w:tcPr>
          <w:p w:rsidR="001473A4" w:rsidRPr="001473A4" w:rsidRDefault="001473A4" w:rsidP="001473A4">
            <w:pPr>
              <w:spacing w:after="0" w:line="240" w:lineRule="auto"/>
              <w:rPr>
                <w:rFonts w:ascii="Times New Roman" w:eastAsia="Times New Roman" w:hAnsi="Times New Roman" w:cs="Times New Roman"/>
                <w:sz w:val="24"/>
                <w:szCs w:val="24"/>
                <w:lang w:eastAsia="nl-NL"/>
              </w:rPr>
            </w:pPr>
          </w:p>
        </w:tc>
      </w:tr>
      <w:tr w:rsidR="001473A4" w:rsidRPr="001473A4" w:rsidTr="001473A4">
        <w:trPr>
          <w:tblCellSpacing w:w="15" w:type="dxa"/>
        </w:trPr>
        <w:tc>
          <w:tcPr>
            <w:tcW w:w="0" w:type="auto"/>
            <w:vAlign w:val="center"/>
            <w:hideMark/>
          </w:tcPr>
          <w:p w:rsidR="001473A4" w:rsidRPr="001473A4" w:rsidRDefault="001473A4" w:rsidP="001473A4">
            <w:pPr>
              <w:spacing w:after="0" w:line="240" w:lineRule="auto"/>
              <w:rPr>
                <w:rFonts w:ascii="Times New Roman" w:eastAsia="Times New Roman" w:hAnsi="Times New Roman" w:cs="Times New Roman"/>
                <w:sz w:val="24"/>
                <w:szCs w:val="24"/>
                <w:lang w:eastAsia="nl-NL"/>
              </w:rPr>
            </w:pPr>
          </w:p>
        </w:tc>
      </w:tr>
      <w:tr w:rsidR="001473A4" w:rsidRPr="001473A4" w:rsidTr="001473A4">
        <w:trPr>
          <w:tblCellSpacing w:w="15" w:type="dxa"/>
        </w:trPr>
        <w:tc>
          <w:tcPr>
            <w:tcW w:w="0" w:type="auto"/>
            <w:vAlign w:val="center"/>
            <w:hideMark/>
          </w:tcPr>
          <w:p w:rsidR="001473A4" w:rsidRPr="001473A4" w:rsidRDefault="001473A4" w:rsidP="001473A4">
            <w:pPr>
              <w:spacing w:after="0" w:line="240" w:lineRule="auto"/>
              <w:rPr>
                <w:rFonts w:ascii="Times New Roman" w:eastAsia="Times New Roman" w:hAnsi="Times New Roman" w:cs="Times New Roman"/>
                <w:sz w:val="24"/>
                <w:szCs w:val="24"/>
                <w:lang w:eastAsia="nl-NL"/>
              </w:rPr>
            </w:pPr>
          </w:p>
        </w:tc>
      </w:tr>
      <w:tr w:rsidR="001473A4" w:rsidRPr="001473A4" w:rsidTr="001473A4">
        <w:trPr>
          <w:tblCellSpacing w:w="15" w:type="dxa"/>
        </w:trPr>
        <w:tc>
          <w:tcPr>
            <w:tcW w:w="0" w:type="auto"/>
            <w:vAlign w:val="center"/>
            <w:hideMark/>
          </w:tcPr>
          <w:p w:rsidR="001473A4" w:rsidRPr="001473A4" w:rsidRDefault="001473A4" w:rsidP="001473A4">
            <w:pPr>
              <w:spacing w:after="0" w:line="240" w:lineRule="auto"/>
              <w:rPr>
                <w:rFonts w:ascii="Times New Roman" w:eastAsia="Times New Roman" w:hAnsi="Times New Roman" w:cs="Times New Roman"/>
                <w:sz w:val="24"/>
                <w:szCs w:val="24"/>
                <w:lang w:eastAsia="nl-NL"/>
              </w:rPr>
            </w:pPr>
          </w:p>
        </w:tc>
      </w:tr>
    </w:tbl>
    <w:p w:rsidR="00EE7DF2" w:rsidRPr="00EE7DF2" w:rsidRDefault="00EE7DF2" w:rsidP="009D79DC">
      <w:pPr>
        <w:spacing w:after="0"/>
        <w:rPr>
          <w:rFonts w:ascii="Calibri" w:hAnsi="Calibri" w:cs="Calibri"/>
          <w:b/>
          <w:color w:val="333333"/>
        </w:rPr>
      </w:pPr>
      <w:r w:rsidRPr="00EE7DF2">
        <w:rPr>
          <w:rFonts w:ascii="Calibri" w:hAnsi="Calibri" w:cs="Calibri"/>
          <w:b/>
          <w:color w:val="333333"/>
        </w:rPr>
        <w:t>Geen toegevoegde waarde transacties op maandbasis</w:t>
      </w:r>
    </w:p>
    <w:p w:rsidR="00A47939" w:rsidRDefault="00AE4693" w:rsidP="009D79DC">
      <w:pPr>
        <w:spacing w:after="0"/>
        <w:rPr>
          <w:rFonts w:ascii="Calibri" w:hAnsi="Calibri" w:cs="Calibri"/>
          <w:color w:val="333333"/>
        </w:rPr>
      </w:pPr>
      <w:r w:rsidRPr="009940EC">
        <w:rPr>
          <w:rFonts w:ascii="Calibri" w:hAnsi="Calibri" w:cs="Calibri"/>
          <w:color w:val="333333"/>
        </w:rPr>
        <w:t xml:space="preserve">Elke maand publiceren het CBS en het Kadaster eveneens de transactieaantallen. De maandberichten mogen zich in grote belangstelling van de media verheugen. De vraag is echter wat de transactieaantallen op maandbasis toevoegen aan een betrouwbare oordeelsvorming over de ontwikkelingen in de woningmarkt. Onderstaande grafiek </w:t>
      </w:r>
      <w:r w:rsidR="00EE7DF2">
        <w:rPr>
          <w:rFonts w:ascii="Calibri" w:hAnsi="Calibri" w:cs="Calibri"/>
          <w:color w:val="333333"/>
        </w:rPr>
        <w:t>maakt</w:t>
      </w:r>
      <w:r w:rsidRPr="009940EC">
        <w:rPr>
          <w:rFonts w:ascii="Calibri" w:hAnsi="Calibri" w:cs="Calibri"/>
          <w:color w:val="333333"/>
        </w:rPr>
        <w:t xml:space="preserve"> dit duidelijk. </w:t>
      </w:r>
      <w:r w:rsidR="009D79DC" w:rsidRPr="009940EC">
        <w:rPr>
          <w:rFonts w:ascii="Calibri" w:hAnsi="Calibri" w:cs="Calibri"/>
          <w:color w:val="333333"/>
        </w:rPr>
        <w:t xml:space="preserve">In september werden 10.327 transacties door het Kadaster geregistreerd, 6% meer dan in dezelfde maand vorig jaar. </w:t>
      </w:r>
      <w:r w:rsidR="00A47939" w:rsidRPr="009940EC">
        <w:rPr>
          <w:rFonts w:ascii="Calibri" w:hAnsi="Calibri" w:cs="Calibri"/>
          <w:color w:val="333333"/>
        </w:rPr>
        <w:t xml:space="preserve">Op het eerste gezicht een positieve ontwikkeling, zou je zeggen, mogelijk zelfs veroorzaakt door </w:t>
      </w:r>
      <w:r w:rsidR="009D79DC" w:rsidRPr="009940EC">
        <w:rPr>
          <w:rFonts w:ascii="Calibri" w:hAnsi="Calibri" w:cs="Calibri"/>
          <w:color w:val="333333"/>
        </w:rPr>
        <w:t>de verlaagde overdrachtsbelasting</w:t>
      </w:r>
      <w:r w:rsidR="00A47939" w:rsidRPr="009940EC">
        <w:rPr>
          <w:rFonts w:ascii="Calibri" w:hAnsi="Calibri" w:cs="Calibri"/>
          <w:color w:val="333333"/>
        </w:rPr>
        <w:t>.</w:t>
      </w:r>
      <w:r w:rsidR="009D79DC" w:rsidRPr="009940EC">
        <w:rPr>
          <w:rFonts w:ascii="Calibri" w:hAnsi="Calibri" w:cs="Calibri"/>
          <w:color w:val="333333"/>
        </w:rPr>
        <w:t xml:space="preserve"> </w:t>
      </w:r>
      <w:r w:rsidR="00A47939" w:rsidRPr="009940EC">
        <w:rPr>
          <w:rFonts w:ascii="Calibri" w:hAnsi="Calibri" w:cs="Calibri"/>
          <w:color w:val="333333"/>
        </w:rPr>
        <w:t>Een nadere analyse van 2010 levert het antwoord. Op de maand</w:t>
      </w:r>
      <w:r w:rsidR="00EE7DF2">
        <w:rPr>
          <w:rFonts w:ascii="Calibri" w:hAnsi="Calibri" w:cs="Calibri"/>
          <w:color w:val="333333"/>
        </w:rPr>
        <w:t>en</w:t>
      </w:r>
      <w:r w:rsidR="00A47939" w:rsidRPr="009940EC">
        <w:rPr>
          <w:rFonts w:ascii="Calibri" w:hAnsi="Calibri" w:cs="Calibri"/>
          <w:color w:val="333333"/>
        </w:rPr>
        <w:t xml:space="preserve"> juli </w:t>
      </w:r>
      <w:r w:rsidR="00EE7DF2">
        <w:rPr>
          <w:rFonts w:ascii="Calibri" w:hAnsi="Calibri" w:cs="Calibri"/>
          <w:color w:val="333333"/>
        </w:rPr>
        <w:t xml:space="preserve">en oktober </w:t>
      </w:r>
      <w:r w:rsidR="00A47939" w:rsidRPr="009940EC">
        <w:rPr>
          <w:rFonts w:ascii="Calibri" w:hAnsi="Calibri" w:cs="Calibri"/>
          <w:color w:val="333333"/>
        </w:rPr>
        <w:t xml:space="preserve">na, is elke ontwikkeling in 2011 een tegengestelde afspiegeling van de ontwikkelingen in 2010. </w:t>
      </w:r>
      <w:r w:rsidR="009D79DC" w:rsidRPr="009940EC">
        <w:rPr>
          <w:rFonts w:ascii="Calibri" w:hAnsi="Calibri" w:cs="Calibri"/>
          <w:color w:val="333333"/>
        </w:rPr>
        <w:t xml:space="preserve">Over de eerste </w:t>
      </w:r>
      <w:r w:rsidR="00EE7DF2">
        <w:rPr>
          <w:rFonts w:ascii="Calibri" w:hAnsi="Calibri" w:cs="Calibri"/>
          <w:color w:val="333333"/>
        </w:rPr>
        <w:t>tie</w:t>
      </w:r>
      <w:r w:rsidR="009D79DC" w:rsidRPr="009940EC">
        <w:rPr>
          <w:rFonts w:ascii="Calibri" w:hAnsi="Calibri" w:cs="Calibri"/>
          <w:color w:val="333333"/>
        </w:rPr>
        <w:t xml:space="preserve">n maanden van 2011 ligt het transactieniveau nog altijd </w:t>
      </w:r>
      <w:r w:rsidR="00EE7DF2">
        <w:rPr>
          <w:rFonts w:ascii="Calibri" w:hAnsi="Calibri" w:cs="Calibri"/>
          <w:color w:val="333333"/>
        </w:rPr>
        <w:t>bijna 4%</w:t>
      </w:r>
      <w:r w:rsidR="009D79DC" w:rsidRPr="009940EC">
        <w:rPr>
          <w:rFonts w:ascii="Calibri" w:hAnsi="Calibri" w:cs="Calibri"/>
          <w:color w:val="333333"/>
        </w:rPr>
        <w:t xml:space="preserve"> onder het niveau van 2010. </w:t>
      </w:r>
      <w:r w:rsidR="00A47939" w:rsidRPr="009940EC">
        <w:rPr>
          <w:rFonts w:ascii="Calibri" w:hAnsi="Calibri" w:cs="Calibri"/>
          <w:color w:val="333333"/>
        </w:rPr>
        <w:t>De conclusie van deze vergelijking is duidelijk</w:t>
      </w:r>
      <w:r w:rsidR="00EE7DF2">
        <w:rPr>
          <w:rFonts w:ascii="Calibri" w:hAnsi="Calibri" w:cs="Calibri"/>
          <w:color w:val="333333"/>
        </w:rPr>
        <w:t xml:space="preserve">, </w:t>
      </w:r>
      <w:r w:rsidR="00A47939" w:rsidRPr="009940EC">
        <w:rPr>
          <w:rFonts w:ascii="Calibri" w:hAnsi="Calibri" w:cs="Calibri"/>
          <w:color w:val="333333"/>
        </w:rPr>
        <w:t xml:space="preserve">de transactieontwikkeling op maandbasis voegt </w:t>
      </w:r>
      <w:r w:rsidR="002B777C">
        <w:rPr>
          <w:rFonts w:ascii="Calibri" w:hAnsi="Calibri" w:cs="Calibri"/>
          <w:color w:val="333333"/>
        </w:rPr>
        <w:t>niets</w:t>
      </w:r>
      <w:r w:rsidR="00A47939" w:rsidRPr="009940EC">
        <w:rPr>
          <w:rFonts w:ascii="Calibri" w:hAnsi="Calibri" w:cs="Calibri"/>
          <w:color w:val="333333"/>
        </w:rPr>
        <w:t xml:space="preserve"> toe aan een evenwicht</w:t>
      </w:r>
      <w:r w:rsidR="002B5ED0">
        <w:rPr>
          <w:rFonts w:ascii="Calibri" w:hAnsi="Calibri" w:cs="Calibri"/>
          <w:color w:val="333333"/>
        </w:rPr>
        <w:t>ig</w:t>
      </w:r>
      <w:r w:rsidR="00A47939" w:rsidRPr="009940EC">
        <w:rPr>
          <w:rFonts w:ascii="Calibri" w:hAnsi="Calibri" w:cs="Calibri"/>
          <w:color w:val="333333"/>
        </w:rPr>
        <w:t xml:space="preserve"> beeld,  </w:t>
      </w:r>
      <w:r w:rsidR="004D7782" w:rsidRPr="009940EC">
        <w:rPr>
          <w:rFonts w:ascii="Calibri" w:hAnsi="Calibri" w:cs="Calibri"/>
          <w:color w:val="333333"/>
        </w:rPr>
        <w:t xml:space="preserve">een kwartaalanalyse </w:t>
      </w:r>
      <w:r w:rsidR="00EE7DF2">
        <w:rPr>
          <w:rFonts w:ascii="Calibri" w:hAnsi="Calibri" w:cs="Calibri"/>
          <w:color w:val="333333"/>
        </w:rPr>
        <w:t>zou</w:t>
      </w:r>
      <w:r w:rsidR="004D7782" w:rsidRPr="009940EC">
        <w:rPr>
          <w:rFonts w:ascii="Calibri" w:hAnsi="Calibri" w:cs="Calibri"/>
          <w:color w:val="333333"/>
        </w:rPr>
        <w:t xml:space="preserve"> beter op zijn plaats zijn. </w:t>
      </w:r>
    </w:p>
    <w:p w:rsidR="00B9343E" w:rsidRDefault="009D79DC" w:rsidP="009D79DC">
      <w:pPr>
        <w:spacing w:after="0"/>
        <w:rPr>
          <w:rFonts w:ascii="Lucida Sans" w:hAnsi="Lucida Sans"/>
          <w:color w:val="333333"/>
          <w:sz w:val="18"/>
          <w:szCs w:val="18"/>
        </w:rPr>
      </w:pPr>
      <w:r>
        <w:rPr>
          <w:rFonts w:ascii="Lucida Sans" w:hAnsi="Lucida Sans"/>
          <w:color w:val="333333"/>
          <w:sz w:val="18"/>
          <w:szCs w:val="18"/>
        </w:rPr>
        <w:t xml:space="preserve"> </w:t>
      </w:r>
    </w:p>
    <w:p w:rsidR="00B9343E" w:rsidRDefault="00B9343E" w:rsidP="009D79DC">
      <w:pPr>
        <w:spacing w:after="0"/>
        <w:rPr>
          <w:rFonts w:ascii="Lucida Sans" w:hAnsi="Lucida Sans"/>
          <w:color w:val="333333"/>
          <w:sz w:val="18"/>
          <w:szCs w:val="18"/>
        </w:rPr>
      </w:pPr>
    </w:p>
    <w:p w:rsidR="00AE3FAC" w:rsidRDefault="00B9343E" w:rsidP="009D79DC">
      <w:pPr>
        <w:spacing w:after="0"/>
        <w:rPr>
          <w:rFonts w:ascii="Lucida Sans" w:hAnsi="Lucida Sans"/>
          <w:color w:val="333333"/>
          <w:sz w:val="18"/>
          <w:szCs w:val="18"/>
        </w:rPr>
      </w:pPr>
      <w:r w:rsidRPr="00B9343E">
        <w:rPr>
          <w:rFonts w:ascii="Lucida Sans" w:hAnsi="Lucida Sans"/>
          <w:noProof/>
          <w:color w:val="333333"/>
          <w:sz w:val="18"/>
          <w:szCs w:val="18"/>
          <w:lang w:eastAsia="nl-NL"/>
        </w:rPr>
        <w:lastRenderedPageBreak/>
        <w:drawing>
          <wp:inline distT="0" distB="0" distL="0" distR="0">
            <wp:extent cx="6457950" cy="2800350"/>
            <wp:effectExtent l="0" t="0" r="0" b="0"/>
            <wp:docPr id="17" name="Grafie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9D79DC">
        <w:rPr>
          <w:rFonts w:ascii="Lucida Sans" w:hAnsi="Lucida Sans"/>
          <w:color w:val="333333"/>
          <w:sz w:val="18"/>
          <w:szCs w:val="18"/>
        </w:rPr>
        <w:br/>
      </w:r>
      <w:r w:rsidR="009D79DC">
        <w:rPr>
          <w:rFonts w:ascii="Lucida Sans" w:hAnsi="Lucida Sans"/>
          <w:color w:val="333333"/>
          <w:sz w:val="18"/>
          <w:szCs w:val="18"/>
        </w:rPr>
        <w:br/>
      </w:r>
    </w:p>
    <w:p w:rsidR="00FC2B02" w:rsidRDefault="00FC2B02" w:rsidP="006853B8">
      <w:pPr>
        <w:spacing w:after="0"/>
        <w:rPr>
          <w:b/>
        </w:rPr>
      </w:pPr>
    </w:p>
    <w:p w:rsidR="00FC2B02" w:rsidRDefault="00FC2B02" w:rsidP="006853B8">
      <w:pPr>
        <w:spacing w:after="0"/>
        <w:rPr>
          <w:b/>
        </w:rPr>
      </w:pPr>
    </w:p>
    <w:p w:rsidR="006853B8" w:rsidRPr="00F37183" w:rsidRDefault="006853B8" w:rsidP="006853B8">
      <w:pPr>
        <w:spacing w:after="0"/>
        <w:rPr>
          <w:b/>
        </w:rPr>
      </w:pPr>
      <w:r w:rsidRPr="00F37183">
        <w:rPr>
          <w:b/>
        </w:rPr>
        <w:t>Dé woningmarkt bestaat niet</w:t>
      </w:r>
    </w:p>
    <w:p w:rsidR="00D92AC1" w:rsidRPr="00F37183" w:rsidRDefault="006853B8" w:rsidP="006853B8">
      <w:pPr>
        <w:spacing w:after="0"/>
      </w:pPr>
      <w:r w:rsidRPr="00F37183">
        <w:t xml:space="preserve">De verschillen in ontwikkelingen op regionaal en gemeentelijk </w:t>
      </w:r>
      <w:r w:rsidR="002B5ED0">
        <w:t xml:space="preserve">niveau </w:t>
      </w:r>
      <w:r w:rsidRPr="00F37183">
        <w:t xml:space="preserve">zijn groot. Om die reden kun je in feite niet spreken van </w:t>
      </w:r>
      <w:r w:rsidR="00D92AC1" w:rsidRPr="00F37183">
        <w:t>éé</w:t>
      </w:r>
      <w:r w:rsidRPr="00F37183">
        <w:t xml:space="preserve">n </w:t>
      </w:r>
      <w:r w:rsidR="00353535" w:rsidRPr="00F37183">
        <w:t xml:space="preserve">woningmarkt </w:t>
      </w:r>
      <w:r w:rsidRPr="00F37183">
        <w:t>of dé woningmarkt. Woningmarktcijfers.nl heeft een aantal instrumenten om de prestaties van de woningmarkt te meten, zoals de ontwikkeling van de gemiddelde koopsom, het aantal transacties</w:t>
      </w:r>
      <w:r w:rsidR="008E182B" w:rsidRPr="00F37183">
        <w:t>, de omvang van het aanbod, de mutatiegraad en de theoretische verkooptijd (TVT). De theoretische verkooptijd geeft het aantal maanden aan d</w:t>
      </w:r>
      <w:r w:rsidR="002B5ED0">
        <w:t>at</w:t>
      </w:r>
      <w:r w:rsidR="008E182B" w:rsidRPr="00F37183">
        <w:t xml:space="preserve"> nodig </w:t>
      </w:r>
      <w:r w:rsidR="002B5ED0">
        <w:t>is</w:t>
      </w:r>
      <w:r w:rsidR="008E182B" w:rsidRPr="00F37183">
        <w:t xml:space="preserve"> om het totale aanbod te verkopen op basis van het aantal transacties van de laatste </w:t>
      </w:r>
      <w:r w:rsidR="00353535" w:rsidRPr="00F37183">
        <w:t>1</w:t>
      </w:r>
      <w:r w:rsidR="008E182B" w:rsidRPr="00F37183">
        <w:t xml:space="preserve">2 maanden.  </w:t>
      </w:r>
      <w:r w:rsidRPr="00F37183">
        <w:t xml:space="preserve"> </w:t>
      </w:r>
    </w:p>
    <w:p w:rsidR="00D92AC1" w:rsidRDefault="00D92AC1" w:rsidP="006853B8">
      <w:pPr>
        <w:spacing w:after="0"/>
      </w:pPr>
    </w:p>
    <w:p w:rsidR="0085519A" w:rsidRPr="0085519A" w:rsidRDefault="0085519A" w:rsidP="006853B8">
      <w:pPr>
        <w:spacing w:after="0"/>
        <w:rPr>
          <w:b/>
        </w:rPr>
      </w:pPr>
      <w:r w:rsidRPr="0085519A">
        <w:rPr>
          <w:b/>
        </w:rPr>
        <w:t>De verwachtingen voor 2012</w:t>
      </w:r>
    </w:p>
    <w:p w:rsidR="0085519A" w:rsidRDefault="0085519A" w:rsidP="006853B8">
      <w:pPr>
        <w:spacing w:after="0"/>
      </w:pPr>
      <w:r>
        <w:t>Ondanks de effecten van de economische</w:t>
      </w:r>
      <w:r w:rsidR="00DA2053">
        <w:t xml:space="preserve"> en euro</w:t>
      </w:r>
      <w:r>
        <w:t xml:space="preserve"> crisis</w:t>
      </w:r>
      <w:r w:rsidR="00DA2053">
        <w:t xml:space="preserve"> kun je concluderen dat de woningmarkt in 2011 niet verder is verslechterd. Voorspellingen doen voor 2012 blijft een lastige opgave. Er zijn teveel facetten die de ontwikkelingen bepalen. We weten uiteraard niet hoe de economie en de werkgelegenheid zich zal ontwikkelen. De lage stand van de hypotheekrente is positief te noemen.  Koppels met twee inkomens kunnen vanaf 1 januari </w:t>
      </w:r>
      <w:r w:rsidR="00392970">
        <w:t xml:space="preserve">iets </w:t>
      </w:r>
      <w:r w:rsidR="00DA2053">
        <w:t xml:space="preserve">meer financieren dan nu het geval is, ook dit is positief. Verder is duidelijk dat kopers in elk geval tot 1 juli kunnen rekenen op de verlaagde overdrachtsbelasting van 2%. Als na deze datum het oude tarief van 6% weer terugkeert, </w:t>
      </w:r>
      <w:r w:rsidR="00FB26B9">
        <w:t xml:space="preserve">zal dit nadelige effecten veroorzaken. </w:t>
      </w:r>
      <w:r w:rsidR="00DA2053">
        <w:t xml:space="preserve">De NHG grens blijft eveneens tot 1 juli op het huidige niveau gehandhaafd. </w:t>
      </w:r>
      <w:r w:rsidR="00FB26B9">
        <w:t xml:space="preserve">Er zijn dus enkele lichtpuntjes, in elk geval gedurende het eerste halfjaar van 2012, de periode daarna neemt de onzekerheid toe. </w:t>
      </w:r>
      <w:r w:rsidR="00392970">
        <w:t xml:space="preserve">De discussie over herziening van de hypotheekrenteaftrek zwelt aan, het consumentenvertrouwen kan hier natuurlijk niets mee. Al met al </w:t>
      </w:r>
      <w:r w:rsidR="00FB26B9">
        <w:t xml:space="preserve">zien </w:t>
      </w:r>
      <w:r w:rsidR="00392970">
        <w:t xml:space="preserve">we geen </w:t>
      </w:r>
      <w:r w:rsidR="00FB26B9">
        <w:t>aanleiding voor een verdere verslechtering van de woningmarkt, net zo min als op een krachtig herstel hoeft te worden gerekend. Een woningmarkt die voortkabbelt</w:t>
      </w:r>
      <w:r w:rsidR="00B83F78">
        <w:t>, dat  lijkt mij het meest waarschijnlijke scenario</w:t>
      </w:r>
      <w:r w:rsidR="003E4CB4">
        <w:t>.</w:t>
      </w:r>
      <w:r w:rsidR="00FB26B9">
        <w:t xml:space="preserve"> </w:t>
      </w:r>
    </w:p>
    <w:p w:rsidR="0085519A" w:rsidRDefault="0085519A" w:rsidP="006853B8">
      <w:pPr>
        <w:spacing w:after="0"/>
      </w:pPr>
    </w:p>
    <w:p w:rsidR="00692E95" w:rsidRDefault="00692E95" w:rsidP="006853B8">
      <w:pPr>
        <w:spacing w:after="0"/>
      </w:pPr>
    </w:p>
    <w:p w:rsidR="00692E95" w:rsidRDefault="00692E95" w:rsidP="006853B8">
      <w:pPr>
        <w:spacing w:after="0"/>
      </w:pPr>
    </w:p>
    <w:p w:rsidR="0085519A" w:rsidRDefault="00692E95" w:rsidP="006853B8">
      <w:pPr>
        <w:spacing w:after="0"/>
      </w:pPr>
      <w:r w:rsidRPr="00692E95">
        <w:rPr>
          <w:noProof/>
          <w:lang w:eastAsia="nl-NL"/>
        </w:rPr>
        <w:lastRenderedPageBreak/>
        <w:drawing>
          <wp:inline distT="0" distB="0" distL="0" distR="0">
            <wp:extent cx="6276975" cy="3657600"/>
            <wp:effectExtent l="19050" t="0" r="9525" b="0"/>
            <wp:docPr id="3" name="Grafie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519A" w:rsidRDefault="0085519A" w:rsidP="006853B8">
      <w:pPr>
        <w:spacing w:after="0"/>
      </w:pPr>
    </w:p>
    <w:p w:rsidR="0085519A" w:rsidRDefault="0085519A" w:rsidP="006853B8">
      <w:pPr>
        <w:spacing w:after="0"/>
      </w:pPr>
    </w:p>
    <w:p w:rsidR="0085519A" w:rsidRPr="00F37183" w:rsidRDefault="0085519A" w:rsidP="006853B8">
      <w:pPr>
        <w:spacing w:after="0"/>
      </w:pPr>
    </w:p>
    <w:p w:rsidR="00FC2B02" w:rsidRDefault="00FC2B02" w:rsidP="006853B8">
      <w:pPr>
        <w:spacing w:after="0"/>
        <w:rPr>
          <w:b/>
        </w:rPr>
      </w:pPr>
    </w:p>
    <w:p w:rsidR="008E41A5" w:rsidRDefault="008E41A5" w:rsidP="006853B8">
      <w:pPr>
        <w:spacing w:after="0"/>
        <w:rPr>
          <w:b/>
        </w:rPr>
      </w:pPr>
    </w:p>
    <w:p w:rsidR="008E41A5" w:rsidRDefault="008E41A5" w:rsidP="006853B8">
      <w:pPr>
        <w:spacing w:after="0"/>
        <w:rPr>
          <w:b/>
        </w:rPr>
      </w:pPr>
    </w:p>
    <w:p w:rsidR="008E41A5" w:rsidRDefault="008E41A5" w:rsidP="006853B8">
      <w:pPr>
        <w:spacing w:after="0"/>
        <w:rPr>
          <w:b/>
        </w:rPr>
      </w:pPr>
    </w:p>
    <w:p w:rsidR="008E41A5" w:rsidRDefault="008E41A5" w:rsidP="006853B8">
      <w:pPr>
        <w:spacing w:after="0"/>
        <w:rPr>
          <w:b/>
        </w:rPr>
      </w:pPr>
    </w:p>
    <w:p w:rsidR="008E41A5" w:rsidRDefault="008E41A5" w:rsidP="006853B8">
      <w:pPr>
        <w:spacing w:after="0"/>
        <w:rPr>
          <w:b/>
        </w:rPr>
      </w:pPr>
    </w:p>
    <w:p w:rsidR="008E41A5" w:rsidRDefault="008E41A5" w:rsidP="006853B8">
      <w:pPr>
        <w:spacing w:after="0"/>
        <w:rPr>
          <w:b/>
        </w:rPr>
      </w:pPr>
    </w:p>
    <w:p w:rsidR="008E41A5" w:rsidRDefault="008E41A5" w:rsidP="006853B8">
      <w:pPr>
        <w:spacing w:after="0"/>
        <w:rPr>
          <w:b/>
        </w:rPr>
      </w:pPr>
    </w:p>
    <w:p w:rsidR="008E41A5" w:rsidRDefault="008E41A5" w:rsidP="006853B8">
      <w:pPr>
        <w:spacing w:after="0"/>
        <w:rPr>
          <w:b/>
        </w:rPr>
      </w:pPr>
    </w:p>
    <w:p w:rsidR="008E41A5" w:rsidRDefault="008E41A5" w:rsidP="006853B8">
      <w:pPr>
        <w:spacing w:after="0"/>
        <w:rPr>
          <w:b/>
        </w:rPr>
      </w:pPr>
    </w:p>
    <w:p w:rsidR="008E41A5" w:rsidRDefault="008E41A5" w:rsidP="006853B8">
      <w:pPr>
        <w:spacing w:after="0"/>
        <w:rPr>
          <w:b/>
        </w:rPr>
      </w:pPr>
    </w:p>
    <w:p w:rsidR="008E41A5" w:rsidRDefault="008E41A5" w:rsidP="006853B8">
      <w:pPr>
        <w:spacing w:after="0"/>
        <w:rPr>
          <w:b/>
        </w:rPr>
      </w:pPr>
    </w:p>
    <w:p w:rsidR="008E41A5" w:rsidRDefault="008E41A5" w:rsidP="006853B8">
      <w:pPr>
        <w:spacing w:after="0"/>
        <w:rPr>
          <w:b/>
        </w:rPr>
      </w:pPr>
    </w:p>
    <w:p w:rsidR="008E41A5" w:rsidRDefault="008E41A5" w:rsidP="006853B8">
      <w:pPr>
        <w:spacing w:after="0"/>
        <w:rPr>
          <w:b/>
        </w:rPr>
      </w:pPr>
    </w:p>
    <w:p w:rsidR="008E41A5" w:rsidRDefault="008E41A5" w:rsidP="006853B8">
      <w:pPr>
        <w:spacing w:after="0"/>
        <w:rPr>
          <w:b/>
        </w:rPr>
      </w:pPr>
    </w:p>
    <w:p w:rsidR="008E41A5" w:rsidRDefault="008E41A5" w:rsidP="006853B8">
      <w:pPr>
        <w:spacing w:after="0"/>
        <w:rPr>
          <w:b/>
        </w:rPr>
      </w:pPr>
    </w:p>
    <w:p w:rsidR="008E41A5" w:rsidRDefault="008E41A5" w:rsidP="006853B8">
      <w:pPr>
        <w:spacing w:after="0"/>
        <w:rPr>
          <w:b/>
        </w:rPr>
      </w:pPr>
    </w:p>
    <w:p w:rsidR="008E41A5" w:rsidRDefault="008E41A5" w:rsidP="006853B8">
      <w:pPr>
        <w:spacing w:after="0"/>
        <w:rPr>
          <w:b/>
        </w:rPr>
      </w:pPr>
    </w:p>
    <w:p w:rsidR="008E41A5" w:rsidRDefault="008E41A5" w:rsidP="006853B8">
      <w:pPr>
        <w:spacing w:after="0"/>
        <w:rPr>
          <w:b/>
        </w:rPr>
      </w:pPr>
    </w:p>
    <w:p w:rsidR="008E41A5" w:rsidRDefault="008E41A5" w:rsidP="006853B8">
      <w:pPr>
        <w:spacing w:after="0"/>
        <w:rPr>
          <w:b/>
        </w:rPr>
      </w:pPr>
    </w:p>
    <w:p w:rsidR="008E41A5" w:rsidRDefault="008E41A5" w:rsidP="006853B8">
      <w:pPr>
        <w:spacing w:after="0"/>
        <w:rPr>
          <w:b/>
        </w:rPr>
      </w:pPr>
    </w:p>
    <w:p w:rsidR="008E41A5" w:rsidRDefault="008E41A5" w:rsidP="006853B8">
      <w:pPr>
        <w:spacing w:after="0"/>
        <w:rPr>
          <w:b/>
        </w:rPr>
      </w:pPr>
    </w:p>
    <w:p w:rsidR="008E41A5" w:rsidRDefault="008E41A5" w:rsidP="006853B8">
      <w:pPr>
        <w:spacing w:after="0"/>
        <w:rPr>
          <w:b/>
        </w:rPr>
      </w:pPr>
    </w:p>
    <w:sectPr w:rsidR="008E41A5" w:rsidSect="008603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90E79"/>
    <w:rsid w:val="00030FB8"/>
    <w:rsid w:val="000446C7"/>
    <w:rsid w:val="00055200"/>
    <w:rsid w:val="00096443"/>
    <w:rsid w:val="000A6573"/>
    <w:rsid w:val="000B48FA"/>
    <w:rsid w:val="000E1587"/>
    <w:rsid w:val="000F3EA3"/>
    <w:rsid w:val="000F76AF"/>
    <w:rsid w:val="00103099"/>
    <w:rsid w:val="001030C5"/>
    <w:rsid w:val="00107289"/>
    <w:rsid w:val="001473A4"/>
    <w:rsid w:val="00186874"/>
    <w:rsid w:val="001F56EC"/>
    <w:rsid w:val="00200E73"/>
    <w:rsid w:val="00262D48"/>
    <w:rsid w:val="0026655F"/>
    <w:rsid w:val="002A6BF2"/>
    <w:rsid w:val="002B5ED0"/>
    <w:rsid w:val="002B777C"/>
    <w:rsid w:val="002C0E9E"/>
    <w:rsid w:val="002C5248"/>
    <w:rsid w:val="002D09D5"/>
    <w:rsid w:val="00307E7C"/>
    <w:rsid w:val="00323E00"/>
    <w:rsid w:val="00347666"/>
    <w:rsid w:val="00353421"/>
    <w:rsid w:val="00353535"/>
    <w:rsid w:val="003666FC"/>
    <w:rsid w:val="0037368B"/>
    <w:rsid w:val="00383935"/>
    <w:rsid w:val="00392970"/>
    <w:rsid w:val="003D42F1"/>
    <w:rsid w:val="003E4CB4"/>
    <w:rsid w:val="003F6DA4"/>
    <w:rsid w:val="004062E4"/>
    <w:rsid w:val="004443B0"/>
    <w:rsid w:val="00453DF0"/>
    <w:rsid w:val="004555F6"/>
    <w:rsid w:val="0046011C"/>
    <w:rsid w:val="00477F72"/>
    <w:rsid w:val="0048045F"/>
    <w:rsid w:val="004C666D"/>
    <w:rsid w:val="004D7782"/>
    <w:rsid w:val="004F6ED9"/>
    <w:rsid w:val="00503EEF"/>
    <w:rsid w:val="00511AB5"/>
    <w:rsid w:val="00512B24"/>
    <w:rsid w:val="005459C9"/>
    <w:rsid w:val="0056056A"/>
    <w:rsid w:val="00583823"/>
    <w:rsid w:val="005D1992"/>
    <w:rsid w:val="005D2D42"/>
    <w:rsid w:val="005D4C22"/>
    <w:rsid w:val="005D743E"/>
    <w:rsid w:val="005F431A"/>
    <w:rsid w:val="006075F8"/>
    <w:rsid w:val="0063419F"/>
    <w:rsid w:val="00682D5C"/>
    <w:rsid w:val="006853B8"/>
    <w:rsid w:val="00692E95"/>
    <w:rsid w:val="006F6A0A"/>
    <w:rsid w:val="00717984"/>
    <w:rsid w:val="00752E2C"/>
    <w:rsid w:val="00763A66"/>
    <w:rsid w:val="0078341C"/>
    <w:rsid w:val="007945FF"/>
    <w:rsid w:val="00794D7E"/>
    <w:rsid w:val="007A0CE5"/>
    <w:rsid w:val="007A2C96"/>
    <w:rsid w:val="007C1222"/>
    <w:rsid w:val="007F5A8E"/>
    <w:rsid w:val="008036A9"/>
    <w:rsid w:val="0085519A"/>
    <w:rsid w:val="008603F6"/>
    <w:rsid w:val="008610A1"/>
    <w:rsid w:val="00865F43"/>
    <w:rsid w:val="008E182B"/>
    <w:rsid w:val="008E41A5"/>
    <w:rsid w:val="008E6FF9"/>
    <w:rsid w:val="0091511C"/>
    <w:rsid w:val="00920C2E"/>
    <w:rsid w:val="00923AEB"/>
    <w:rsid w:val="00923DF2"/>
    <w:rsid w:val="00930DCA"/>
    <w:rsid w:val="00945620"/>
    <w:rsid w:val="00951E91"/>
    <w:rsid w:val="00955818"/>
    <w:rsid w:val="009566E5"/>
    <w:rsid w:val="00983995"/>
    <w:rsid w:val="00992C53"/>
    <w:rsid w:val="00993171"/>
    <w:rsid w:val="009940EC"/>
    <w:rsid w:val="009943EE"/>
    <w:rsid w:val="009D79DC"/>
    <w:rsid w:val="009F60AB"/>
    <w:rsid w:val="00A11E73"/>
    <w:rsid w:val="00A47939"/>
    <w:rsid w:val="00A865CE"/>
    <w:rsid w:val="00A86989"/>
    <w:rsid w:val="00AA66F1"/>
    <w:rsid w:val="00AB49FC"/>
    <w:rsid w:val="00AC7AAC"/>
    <w:rsid w:val="00AD6E02"/>
    <w:rsid w:val="00AE3FAC"/>
    <w:rsid w:val="00AE4693"/>
    <w:rsid w:val="00B416C1"/>
    <w:rsid w:val="00B455FD"/>
    <w:rsid w:val="00B83F78"/>
    <w:rsid w:val="00B9343E"/>
    <w:rsid w:val="00B94582"/>
    <w:rsid w:val="00BA2DF6"/>
    <w:rsid w:val="00BB329E"/>
    <w:rsid w:val="00BC7388"/>
    <w:rsid w:val="00C01B45"/>
    <w:rsid w:val="00C12324"/>
    <w:rsid w:val="00C158F8"/>
    <w:rsid w:val="00C32E10"/>
    <w:rsid w:val="00C34D7B"/>
    <w:rsid w:val="00C50FA2"/>
    <w:rsid w:val="00C64A72"/>
    <w:rsid w:val="00C6559B"/>
    <w:rsid w:val="00C65A98"/>
    <w:rsid w:val="00CA1B47"/>
    <w:rsid w:val="00CD248C"/>
    <w:rsid w:val="00D11CAF"/>
    <w:rsid w:val="00D21D94"/>
    <w:rsid w:val="00D76D81"/>
    <w:rsid w:val="00D854CE"/>
    <w:rsid w:val="00D90E79"/>
    <w:rsid w:val="00D92AC1"/>
    <w:rsid w:val="00DA2053"/>
    <w:rsid w:val="00DF3427"/>
    <w:rsid w:val="00DF69E6"/>
    <w:rsid w:val="00E31809"/>
    <w:rsid w:val="00E52E2F"/>
    <w:rsid w:val="00E56B28"/>
    <w:rsid w:val="00E970AA"/>
    <w:rsid w:val="00EA269A"/>
    <w:rsid w:val="00EC62B6"/>
    <w:rsid w:val="00EE7DF2"/>
    <w:rsid w:val="00F151A4"/>
    <w:rsid w:val="00F37183"/>
    <w:rsid w:val="00F54B14"/>
    <w:rsid w:val="00F662FC"/>
    <w:rsid w:val="00F71256"/>
    <w:rsid w:val="00F76E09"/>
    <w:rsid w:val="00F81C45"/>
    <w:rsid w:val="00FB26B9"/>
    <w:rsid w:val="00FC2B02"/>
    <w:rsid w:val="00FF6AE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03F6"/>
  </w:style>
  <w:style w:type="paragraph" w:styleId="Kop1">
    <w:name w:val="heading 1"/>
    <w:basedOn w:val="Standaard"/>
    <w:link w:val="Kop1Char"/>
    <w:uiPriority w:val="9"/>
    <w:qFormat/>
    <w:rsid w:val="009D79DC"/>
    <w:pPr>
      <w:spacing w:after="0" w:line="240" w:lineRule="auto"/>
      <w:outlineLvl w:val="0"/>
    </w:pPr>
    <w:rPr>
      <w:rFonts w:ascii="Times New Roman" w:hAnsi="Times New Roman" w:cs="Times New Roman"/>
      <w:b/>
      <w:bCs/>
      <w:color w:val="619ADD"/>
      <w:kern w:val="36"/>
      <w:sz w:val="38"/>
      <w:szCs w:val="3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605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056A"/>
    <w:rPr>
      <w:rFonts w:ascii="Tahoma" w:hAnsi="Tahoma" w:cs="Tahoma"/>
      <w:sz w:val="16"/>
      <w:szCs w:val="16"/>
    </w:rPr>
  </w:style>
  <w:style w:type="table" w:styleId="Tabelraster">
    <w:name w:val="Table Grid"/>
    <w:basedOn w:val="Standaardtabel"/>
    <w:uiPriority w:val="59"/>
    <w:rsid w:val="00096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1473A4"/>
    <w:rPr>
      <w:color w:val="0000FF"/>
      <w:u w:val="single"/>
    </w:rPr>
  </w:style>
  <w:style w:type="paragraph" w:styleId="Bovenkantformulier">
    <w:name w:val="HTML Top of Form"/>
    <w:basedOn w:val="Standaard"/>
    <w:next w:val="Standaard"/>
    <w:link w:val="BovenkantformulierChar"/>
    <w:hidden/>
    <w:uiPriority w:val="99"/>
    <w:semiHidden/>
    <w:unhideWhenUsed/>
    <w:rsid w:val="001473A4"/>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1473A4"/>
    <w:rPr>
      <w:rFonts w:ascii="Arial" w:eastAsia="Times New Roman" w:hAnsi="Arial" w:cs="Arial"/>
      <w:vanish/>
      <w:sz w:val="16"/>
      <w:szCs w:val="16"/>
      <w:lang w:eastAsia="nl-NL"/>
    </w:rPr>
  </w:style>
  <w:style w:type="character" w:styleId="Zwaar">
    <w:name w:val="Strong"/>
    <w:basedOn w:val="Standaardalinea-lettertype"/>
    <w:uiPriority w:val="22"/>
    <w:qFormat/>
    <w:rsid w:val="001473A4"/>
    <w:rPr>
      <w:b/>
      <w:bCs/>
    </w:rPr>
  </w:style>
  <w:style w:type="paragraph" w:styleId="Onderkantformulier">
    <w:name w:val="HTML Bottom of Form"/>
    <w:basedOn w:val="Standaard"/>
    <w:next w:val="Standaard"/>
    <w:link w:val="OnderkantformulierChar"/>
    <w:hidden/>
    <w:uiPriority w:val="99"/>
    <w:semiHidden/>
    <w:unhideWhenUsed/>
    <w:rsid w:val="001473A4"/>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1473A4"/>
    <w:rPr>
      <w:rFonts w:ascii="Arial" w:eastAsia="Times New Roman" w:hAnsi="Arial" w:cs="Arial"/>
      <w:vanish/>
      <w:sz w:val="16"/>
      <w:szCs w:val="16"/>
      <w:lang w:eastAsia="nl-NL"/>
    </w:rPr>
  </w:style>
  <w:style w:type="character" w:customStyle="1" w:styleId="Kop1Char">
    <w:name w:val="Kop 1 Char"/>
    <w:basedOn w:val="Standaardalinea-lettertype"/>
    <w:link w:val="Kop1"/>
    <w:uiPriority w:val="9"/>
    <w:rsid w:val="009D79DC"/>
    <w:rPr>
      <w:rFonts w:ascii="Times New Roman" w:hAnsi="Times New Roman" w:cs="Times New Roman"/>
      <w:b/>
      <w:bCs/>
      <w:color w:val="619ADD"/>
      <w:kern w:val="36"/>
      <w:sz w:val="38"/>
      <w:szCs w:val="38"/>
      <w:lang w:eastAsia="nl-NL"/>
    </w:rPr>
  </w:style>
</w:styles>
</file>

<file path=word/webSettings.xml><?xml version="1.0" encoding="utf-8"?>
<w:webSettings xmlns:r="http://schemas.openxmlformats.org/officeDocument/2006/relationships" xmlns:w="http://schemas.openxmlformats.org/wordprocessingml/2006/main">
  <w:divs>
    <w:div w:id="158232251">
      <w:bodyDiv w:val="1"/>
      <w:marLeft w:val="0"/>
      <w:marRight w:val="0"/>
      <w:marTop w:val="0"/>
      <w:marBottom w:val="0"/>
      <w:divBdr>
        <w:top w:val="none" w:sz="0" w:space="0" w:color="auto"/>
        <w:left w:val="none" w:sz="0" w:space="0" w:color="auto"/>
        <w:bottom w:val="none" w:sz="0" w:space="0" w:color="auto"/>
        <w:right w:val="none" w:sz="0" w:space="0" w:color="auto"/>
      </w:divBdr>
    </w:div>
    <w:div w:id="647395290">
      <w:bodyDiv w:val="1"/>
      <w:marLeft w:val="0"/>
      <w:marRight w:val="0"/>
      <w:marTop w:val="0"/>
      <w:marBottom w:val="0"/>
      <w:divBdr>
        <w:top w:val="none" w:sz="0" w:space="0" w:color="auto"/>
        <w:left w:val="none" w:sz="0" w:space="0" w:color="auto"/>
        <w:bottom w:val="none" w:sz="0" w:space="0" w:color="auto"/>
        <w:right w:val="none" w:sz="0" w:space="0" w:color="auto"/>
      </w:divBdr>
    </w:div>
    <w:div w:id="786048372">
      <w:bodyDiv w:val="1"/>
      <w:marLeft w:val="0"/>
      <w:marRight w:val="0"/>
      <w:marTop w:val="0"/>
      <w:marBottom w:val="0"/>
      <w:divBdr>
        <w:top w:val="none" w:sz="0" w:space="0" w:color="auto"/>
        <w:left w:val="none" w:sz="0" w:space="0" w:color="auto"/>
        <w:bottom w:val="none" w:sz="0" w:space="0" w:color="auto"/>
        <w:right w:val="none" w:sz="0" w:space="0" w:color="auto"/>
      </w:divBdr>
      <w:divsChild>
        <w:div w:id="1296905761">
          <w:marLeft w:val="0"/>
          <w:marRight w:val="0"/>
          <w:marTop w:val="0"/>
          <w:marBottom w:val="0"/>
          <w:divBdr>
            <w:top w:val="none" w:sz="0" w:space="0" w:color="auto"/>
            <w:left w:val="none" w:sz="0" w:space="0" w:color="auto"/>
            <w:bottom w:val="none" w:sz="0" w:space="0" w:color="auto"/>
            <w:right w:val="none" w:sz="0" w:space="0" w:color="auto"/>
          </w:divBdr>
          <w:divsChild>
            <w:div w:id="1151292387">
              <w:marLeft w:val="0"/>
              <w:marRight w:val="0"/>
              <w:marTop w:val="0"/>
              <w:marBottom w:val="0"/>
              <w:divBdr>
                <w:top w:val="none" w:sz="0" w:space="0" w:color="auto"/>
                <w:left w:val="none" w:sz="0" w:space="0" w:color="auto"/>
                <w:bottom w:val="none" w:sz="0" w:space="0" w:color="auto"/>
                <w:right w:val="none" w:sz="0" w:space="0" w:color="auto"/>
              </w:divBdr>
              <w:divsChild>
                <w:div w:id="689721882">
                  <w:marLeft w:val="0"/>
                  <w:marRight w:val="0"/>
                  <w:marTop w:val="0"/>
                  <w:marBottom w:val="0"/>
                  <w:divBdr>
                    <w:top w:val="none" w:sz="0" w:space="0" w:color="auto"/>
                    <w:left w:val="none" w:sz="0" w:space="0" w:color="auto"/>
                    <w:bottom w:val="none" w:sz="0" w:space="0" w:color="auto"/>
                    <w:right w:val="none" w:sz="0" w:space="0" w:color="auto"/>
                  </w:divBdr>
                  <w:divsChild>
                    <w:div w:id="168015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20907">
      <w:bodyDiv w:val="1"/>
      <w:marLeft w:val="0"/>
      <w:marRight w:val="0"/>
      <w:marTop w:val="0"/>
      <w:marBottom w:val="0"/>
      <w:divBdr>
        <w:top w:val="none" w:sz="0" w:space="0" w:color="auto"/>
        <w:left w:val="none" w:sz="0" w:space="0" w:color="auto"/>
        <w:bottom w:val="none" w:sz="0" w:space="0" w:color="auto"/>
        <w:right w:val="none" w:sz="0" w:space="0" w:color="auto"/>
      </w:divBdr>
    </w:div>
    <w:div w:id="1082222774">
      <w:bodyDiv w:val="1"/>
      <w:marLeft w:val="0"/>
      <w:marRight w:val="0"/>
      <w:marTop w:val="0"/>
      <w:marBottom w:val="0"/>
      <w:divBdr>
        <w:top w:val="none" w:sz="0" w:space="0" w:color="auto"/>
        <w:left w:val="none" w:sz="0" w:space="0" w:color="auto"/>
        <w:bottom w:val="none" w:sz="0" w:space="0" w:color="auto"/>
        <w:right w:val="none" w:sz="0" w:space="0" w:color="auto"/>
      </w:divBdr>
    </w:div>
    <w:div w:id="1159425428">
      <w:bodyDiv w:val="1"/>
      <w:marLeft w:val="0"/>
      <w:marRight w:val="0"/>
      <w:marTop w:val="0"/>
      <w:marBottom w:val="0"/>
      <w:divBdr>
        <w:top w:val="none" w:sz="0" w:space="0" w:color="auto"/>
        <w:left w:val="none" w:sz="0" w:space="0" w:color="auto"/>
        <w:bottom w:val="none" w:sz="0" w:space="0" w:color="auto"/>
        <w:right w:val="none" w:sz="0" w:space="0" w:color="auto"/>
      </w:divBdr>
    </w:div>
    <w:div w:id="1296988391">
      <w:bodyDiv w:val="1"/>
      <w:marLeft w:val="0"/>
      <w:marRight w:val="0"/>
      <w:marTop w:val="0"/>
      <w:marBottom w:val="0"/>
      <w:divBdr>
        <w:top w:val="none" w:sz="0" w:space="0" w:color="auto"/>
        <w:left w:val="none" w:sz="0" w:space="0" w:color="auto"/>
        <w:bottom w:val="none" w:sz="0" w:space="0" w:color="auto"/>
        <w:right w:val="none" w:sz="0" w:space="0" w:color="auto"/>
      </w:divBdr>
    </w:div>
    <w:div w:id="1857184849">
      <w:bodyDiv w:val="1"/>
      <w:marLeft w:val="0"/>
      <w:marRight w:val="0"/>
      <w:marTop w:val="0"/>
      <w:marBottom w:val="0"/>
      <w:divBdr>
        <w:top w:val="none" w:sz="0" w:space="0" w:color="auto"/>
        <w:left w:val="none" w:sz="0" w:space="0" w:color="auto"/>
        <w:bottom w:val="none" w:sz="0" w:space="0" w:color="auto"/>
        <w:right w:val="none" w:sz="0" w:space="0" w:color="auto"/>
      </w:divBdr>
    </w:div>
    <w:div w:id="1858153022">
      <w:bodyDiv w:val="1"/>
      <w:marLeft w:val="0"/>
      <w:marRight w:val="0"/>
      <w:marTop w:val="0"/>
      <w:marBottom w:val="0"/>
      <w:divBdr>
        <w:top w:val="none" w:sz="0" w:space="0" w:color="auto"/>
        <w:left w:val="none" w:sz="0" w:space="0" w:color="auto"/>
        <w:bottom w:val="none" w:sz="0" w:space="0" w:color="auto"/>
        <w:right w:val="none" w:sz="0" w:space="0" w:color="auto"/>
      </w:divBdr>
    </w:div>
    <w:div w:id="1964916379">
      <w:bodyDiv w:val="1"/>
      <w:marLeft w:val="0"/>
      <w:marRight w:val="0"/>
      <w:marTop w:val="0"/>
      <w:marBottom w:val="0"/>
      <w:divBdr>
        <w:top w:val="none" w:sz="0" w:space="0" w:color="auto"/>
        <w:left w:val="none" w:sz="0" w:space="0" w:color="auto"/>
        <w:bottom w:val="none" w:sz="0" w:space="0" w:color="auto"/>
        <w:right w:val="none" w:sz="0" w:space="0" w:color="auto"/>
      </w:divBdr>
      <w:divsChild>
        <w:div w:id="1559632207">
          <w:marLeft w:val="0"/>
          <w:marRight w:val="0"/>
          <w:marTop w:val="0"/>
          <w:marBottom w:val="0"/>
          <w:divBdr>
            <w:top w:val="none" w:sz="0" w:space="0" w:color="auto"/>
            <w:left w:val="none" w:sz="0" w:space="0" w:color="auto"/>
            <w:bottom w:val="none" w:sz="0" w:space="0" w:color="auto"/>
            <w:right w:val="none" w:sz="0" w:space="0" w:color="auto"/>
          </w:divBdr>
          <w:divsChild>
            <w:div w:id="271744094">
              <w:marLeft w:val="0"/>
              <w:marRight w:val="0"/>
              <w:marTop w:val="0"/>
              <w:marBottom w:val="0"/>
              <w:divBdr>
                <w:top w:val="none" w:sz="0" w:space="0" w:color="auto"/>
                <w:left w:val="none" w:sz="0" w:space="0" w:color="auto"/>
                <w:bottom w:val="none" w:sz="0" w:space="0" w:color="auto"/>
                <w:right w:val="none" w:sz="0" w:space="0" w:color="auto"/>
              </w:divBdr>
              <w:divsChild>
                <w:div w:id="1569340978">
                  <w:marLeft w:val="0"/>
                  <w:marRight w:val="0"/>
                  <w:marTop w:val="0"/>
                  <w:marBottom w:val="0"/>
                  <w:divBdr>
                    <w:top w:val="none" w:sz="0" w:space="0" w:color="auto"/>
                    <w:left w:val="none" w:sz="0" w:space="0" w:color="auto"/>
                    <w:bottom w:val="none" w:sz="0" w:space="0" w:color="auto"/>
                    <w:right w:val="none" w:sz="0" w:space="0" w:color="auto"/>
                  </w:divBdr>
                  <w:divsChild>
                    <w:div w:id="17079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6501">
      <w:bodyDiv w:val="1"/>
      <w:marLeft w:val="0"/>
      <w:marRight w:val="0"/>
      <w:marTop w:val="0"/>
      <w:marBottom w:val="0"/>
      <w:divBdr>
        <w:top w:val="none" w:sz="0" w:space="0" w:color="auto"/>
        <w:left w:val="none" w:sz="0" w:space="0" w:color="auto"/>
        <w:bottom w:val="none" w:sz="0" w:space="0" w:color="auto"/>
        <w:right w:val="none" w:sz="0" w:space="0" w:color="auto"/>
      </w:divBdr>
      <w:divsChild>
        <w:div w:id="684289468">
          <w:marLeft w:val="0"/>
          <w:marRight w:val="0"/>
          <w:marTop w:val="0"/>
          <w:marBottom w:val="0"/>
          <w:divBdr>
            <w:top w:val="none" w:sz="0" w:space="0" w:color="auto"/>
            <w:left w:val="none" w:sz="0" w:space="0" w:color="auto"/>
            <w:bottom w:val="none" w:sz="0" w:space="0" w:color="auto"/>
            <w:right w:val="none" w:sz="0" w:space="0" w:color="auto"/>
          </w:divBdr>
          <w:divsChild>
            <w:div w:id="1538080743">
              <w:marLeft w:val="0"/>
              <w:marRight w:val="0"/>
              <w:marTop w:val="0"/>
              <w:marBottom w:val="0"/>
              <w:divBdr>
                <w:top w:val="none" w:sz="0" w:space="0" w:color="auto"/>
                <w:left w:val="none" w:sz="0" w:space="0" w:color="auto"/>
                <w:bottom w:val="none" w:sz="0" w:space="0" w:color="auto"/>
                <w:right w:val="none" w:sz="0" w:space="0" w:color="auto"/>
              </w:divBdr>
              <w:divsChild>
                <w:div w:id="1493255919">
                  <w:marLeft w:val="0"/>
                  <w:marRight w:val="0"/>
                  <w:marTop w:val="0"/>
                  <w:marBottom w:val="0"/>
                  <w:divBdr>
                    <w:top w:val="none" w:sz="0" w:space="0" w:color="auto"/>
                    <w:left w:val="none" w:sz="0" w:space="0" w:color="auto"/>
                    <w:bottom w:val="none" w:sz="0" w:space="0" w:color="auto"/>
                    <w:right w:val="none" w:sz="0" w:space="0" w:color="auto"/>
                  </w:divBdr>
                  <w:divsChild>
                    <w:div w:id="1681614237">
                      <w:marLeft w:val="0"/>
                      <w:marRight w:val="0"/>
                      <w:marTop w:val="0"/>
                      <w:marBottom w:val="0"/>
                      <w:divBdr>
                        <w:top w:val="none" w:sz="0" w:space="0" w:color="auto"/>
                        <w:left w:val="none" w:sz="0" w:space="0" w:color="auto"/>
                        <w:bottom w:val="none" w:sz="0" w:space="0" w:color="auto"/>
                        <w:right w:val="none" w:sz="0" w:space="0" w:color="auto"/>
                      </w:divBdr>
                      <w:divsChild>
                        <w:div w:id="799810265">
                          <w:marLeft w:val="0"/>
                          <w:marRight w:val="0"/>
                          <w:marTop w:val="0"/>
                          <w:marBottom w:val="0"/>
                          <w:divBdr>
                            <w:top w:val="none" w:sz="0" w:space="0" w:color="auto"/>
                            <w:left w:val="none" w:sz="0" w:space="0" w:color="auto"/>
                            <w:bottom w:val="none" w:sz="0" w:space="0" w:color="auto"/>
                            <w:right w:val="none" w:sz="0" w:space="0" w:color="auto"/>
                          </w:divBdr>
                          <w:divsChild>
                            <w:div w:id="1390030988">
                              <w:marLeft w:val="0"/>
                              <w:marRight w:val="0"/>
                              <w:marTop w:val="0"/>
                              <w:marBottom w:val="0"/>
                              <w:divBdr>
                                <w:top w:val="none" w:sz="0" w:space="0" w:color="auto"/>
                                <w:left w:val="none" w:sz="0" w:space="0" w:color="auto"/>
                                <w:bottom w:val="none" w:sz="0" w:space="0" w:color="auto"/>
                                <w:right w:val="none" w:sz="0" w:space="0" w:color="auto"/>
                              </w:divBdr>
                            </w:div>
                            <w:div w:id="249512108">
                              <w:marLeft w:val="0"/>
                              <w:marRight w:val="0"/>
                              <w:marTop w:val="0"/>
                              <w:marBottom w:val="0"/>
                              <w:divBdr>
                                <w:top w:val="none" w:sz="0" w:space="0" w:color="auto"/>
                                <w:left w:val="none" w:sz="0" w:space="0" w:color="auto"/>
                                <w:bottom w:val="none" w:sz="0" w:space="0" w:color="auto"/>
                                <w:right w:val="none" w:sz="0" w:space="0" w:color="auto"/>
                              </w:divBdr>
                            </w:div>
                            <w:div w:id="663975482">
                              <w:marLeft w:val="0"/>
                              <w:marRight w:val="0"/>
                              <w:marTop w:val="0"/>
                              <w:marBottom w:val="0"/>
                              <w:divBdr>
                                <w:top w:val="none" w:sz="0" w:space="0" w:color="auto"/>
                                <w:left w:val="none" w:sz="0" w:space="0" w:color="auto"/>
                                <w:bottom w:val="none" w:sz="0" w:space="0" w:color="auto"/>
                                <w:right w:val="none" w:sz="0" w:space="0" w:color="auto"/>
                              </w:divBdr>
                            </w:div>
                            <w:div w:id="1198736024">
                              <w:marLeft w:val="0"/>
                              <w:marRight w:val="0"/>
                              <w:marTop w:val="0"/>
                              <w:marBottom w:val="0"/>
                              <w:divBdr>
                                <w:top w:val="none" w:sz="0" w:space="0" w:color="auto"/>
                                <w:left w:val="none" w:sz="0" w:space="0" w:color="auto"/>
                                <w:bottom w:val="none" w:sz="0" w:space="0" w:color="auto"/>
                                <w:right w:val="none" w:sz="0" w:space="0" w:color="auto"/>
                              </w:divBdr>
                            </w:div>
                            <w:div w:id="1864243140">
                              <w:marLeft w:val="0"/>
                              <w:marRight w:val="0"/>
                              <w:marTop w:val="0"/>
                              <w:marBottom w:val="0"/>
                              <w:divBdr>
                                <w:top w:val="none" w:sz="0" w:space="0" w:color="auto"/>
                                <w:left w:val="none" w:sz="0" w:space="0" w:color="auto"/>
                                <w:bottom w:val="none" w:sz="0" w:space="0" w:color="auto"/>
                                <w:right w:val="none" w:sz="0" w:space="0" w:color="auto"/>
                              </w:divBdr>
                            </w:div>
                            <w:div w:id="1033962214">
                              <w:marLeft w:val="0"/>
                              <w:marRight w:val="0"/>
                              <w:marTop w:val="0"/>
                              <w:marBottom w:val="0"/>
                              <w:divBdr>
                                <w:top w:val="none" w:sz="0" w:space="0" w:color="auto"/>
                                <w:left w:val="none" w:sz="0" w:space="0" w:color="auto"/>
                                <w:bottom w:val="none" w:sz="0" w:space="0" w:color="auto"/>
                                <w:right w:val="none" w:sz="0" w:space="0" w:color="auto"/>
                              </w:divBdr>
                            </w:div>
                            <w:div w:id="845443231">
                              <w:marLeft w:val="0"/>
                              <w:marRight w:val="0"/>
                              <w:marTop w:val="0"/>
                              <w:marBottom w:val="0"/>
                              <w:divBdr>
                                <w:top w:val="none" w:sz="0" w:space="0" w:color="auto"/>
                                <w:left w:val="none" w:sz="0" w:space="0" w:color="auto"/>
                                <w:bottom w:val="none" w:sz="0" w:space="0" w:color="auto"/>
                                <w:right w:val="none" w:sz="0" w:space="0" w:color="auto"/>
                              </w:divBdr>
                            </w:div>
                            <w:div w:id="930045948">
                              <w:marLeft w:val="0"/>
                              <w:marRight w:val="0"/>
                              <w:marTop w:val="0"/>
                              <w:marBottom w:val="0"/>
                              <w:divBdr>
                                <w:top w:val="none" w:sz="0" w:space="0" w:color="auto"/>
                                <w:left w:val="none" w:sz="0" w:space="0" w:color="auto"/>
                                <w:bottom w:val="none" w:sz="0" w:space="0" w:color="auto"/>
                                <w:right w:val="none" w:sz="0" w:space="0" w:color="auto"/>
                              </w:divBdr>
                            </w:div>
                            <w:div w:id="1802991762">
                              <w:marLeft w:val="0"/>
                              <w:marRight w:val="0"/>
                              <w:marTop w:val="0"/>
                              <w:marBottom w:val="0"/>
                              <w:divBdr>
                                <w:top w:val="none" w:sz="0" w:space="0" w:color="auto"/>
                                <w:left w:val="none" w:sz="0" w:space="0" w:color="auto"/>
                                <w:bottom w:val="none" w:sz="0" w:space="0" w:color="auto"/>
                                <w:right w:val="none" w:sz="0" w:space="0" w:color="auto"/>
                              </w:divBdr>
                            </w:div>
                            <w:div w:id="347341132">
                              <w:marLeft w:val="0"/>
                              <w:marRight w:val="0"/>
                              <w:marTop w:val="0"/>
                              <w:marBottom w:val="0"/>
                              <w:divBdr>
                                <w:top w:val="none" w:sz="0" w:space="0" w:color="auto"/>
                                <w:left w:val="none" w:sz="0" w:space="0" w:color="auto"/>
                                <w:bottom w:val="none" w:sz="0" w:space="0" w:color="auto"/>
                                <w:right w:val="none" w:sz="0" w:space="0" w:color="auto"/>
                              </w:divBdr>
                            </w:div>
                            <w:div w:id="1244148682">
                              <w:marLeft w:val="0"/>
                              <w:marRight w:val="0"/>
                              <w:marTop w:val="0"/>
                              <w:marBottom w:val="0"/>
                              <w:divBdr>
                                <w:top w:val="none" w:sz="0" w:space="0" w:color="auto"/>
                                <w:left w:val="none" w:sz="0" w:space="0" w:color="auto"/>
                                <w:bottom w:val="none" w:sz="0" w:space="0" w:color="auto"/>
                                <w:right w:val="none" w:sz="0" w:space="0" w:color="auto"/>
                              </w:divBdr>
                            </w:div>
                            <w:div w:id="1828009680">
                              <w:marLeft w:val="0"/>
                              <w:marRight w:val="0"/>
                              <w:marTop w:val="0"/>
                              <w:marBottom w:val="0"/>
                              <w:divBdr>
                                <w:top w:val="none" w:sz="0" w:space="0" w:color="auto"/>
                                <w:left w:val="none" w:sz="0" w:space="0" w:color="auto"/>
                                <w:bottom w:val="none" w:sz="0" w:space="0" w:color="auto"/>
                                <w:right w:val="none" w:sz="0" w:space="0" w:color="auto"/>
                              </w:divBdr>
                            </w:div>
                            <w:div w:id="1508906148">
                              <w:marLeft w:val="0"/>
                              <w:marRight w:val="0"/>
                              <w:marTop w:val="0"/>
                              <w:marBottom w:val="0"/>
                              <w:divBdr>
                                <w:top w:val="none" w:sz="0" w:space="0" w:color="auto"/>
                                <w:left w:val="none" w:sz="0" w:space="0" w:color="auto"/>
                                <w:bottom w:val="none" w:sz="0" w:space="0" w:color="auto"/>
                                <w:right w:val="none" w:sz="0" w:space="0" w:color="auto"/>
                              </w:divBdr>
                            </w:div>
                            <w:div w:id="1739939530">
                              <w:marLeft w:val="0"/>
                              <w:marRight w:val="0"/>
                              <w:marTop w:val="0"/>
                              <w:marBottom w:val="0"/>
                              <w:divBdr>
                                <w:top w:val="none" w:sz="0" w:space="0" w:color="auto"/>
                                <w:left w:val="none" w:sz="0" w:space="0" w:color="auto"/>
                                <w:bottom w:val="none" w:sz="0" w:space="0" w:color="auto"/>
                                <w:right w:val="none" w:sz="0" w:space="0" w:color="auto"/>
                              </w:divBdr>
                            </w:div>
                            <w:div w:id="546767344">
                              <w:marLeft w:val="0"/>
                              <w:marRight w:val="0"/>
                              <w:marTop w:val="0"/>
                              <w:marBottom w:val="0"/>
                              <w:divBdr>
                                <w:top w:val="none" w:sz="0" w:space="0" w:color="auto"/>
                                <w:left w:val="none" w:sz="0" w:space="0" w:color="auto"/>
                                <w:bottom w:val="none" w:sz="0" w:space="0" w:color="auto"/>
                                <w:right w:val="none" w:sz="0" w:space="0" w:color="auto"/>
                              </w:divBdr>
                            </w:div>
                            <w:div w:id="1311013389">
                              <w:marLeft w:val="0"/>
                              <w:marRight w:val="0"/>
                              <w:marTop w:val="0"/>
                              <w:marBottom w:val="0"/>
                              <w:divBdr>
                                <w:top w:val="none" w:sz="0" w:space="0" w:color="auto"/>
                                <w:left w:val="none" w:sz="0" w:space="0" w:color="auto"/>
                                <w:bottom w:val="none" w:sz="0" w:space="0" w:color="auto"/>
                                <w:right w:val="none" w:sz="0" w:space="0" w:color="auto"/>
                              </w:divBdr>
                            </w:div>
                            <w:div w:id="19961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90389">
      <w:bodyDiv w:val="1"/>
      <w:marLeft w:val="0"/>
      <w:marRight w:val="0"/>
      <w:marTop w:val="0"/>
      <w:marBottom w:val="0"/>
      <w:divBdr>
        <w:top w:val="none" w:sz="0" w:space="0" w:color="auto"/>
        <w:left w:val="none" w:sz="0" w:space="0" w:color="auto"/>
        <w:bottom w:val="none" w:sz="0" w:space="0" w:color="auto"/>
        <w:right w:val="none" w:sz="0" w:space="0" w:color="auto"/>
      </w:divBdr>
    </w:div>
    <w:div w:id="208544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theme" Target="theme/theme1.xml"/><Relationship Id="rId5" Type="http://schemas.openxmlformats.org/officeDocument/2006/relationships/chart" Target="charts/chart2.xml"/><Relationship Id="rId10" Type="http://schemas.openxmlformats.org/officeDocument/2006/relationships/fontTable" Target="fontTable.xml"/><Relationship Id="rId4" Type="http://schemas.openxmlformats.org/officeDocument/2006/relationships/chart" Target="charts/chart1.xml"/><Relationship Id="rId9"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WONINGMARKTgegevens\2011-maatwerkleveringen%20en%20eigen%20onderzoeken\Transacties-NVM-kad-2007-2011-kw.+WMC%20index.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S:\WONINGMARKTgegevens\2011-maatwerkleveringen%20en%20eigen%20onderzoeken\Transacties-NVM-kad-2007-2011-kw.+WMC%20index.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S:\WONINGMARKTgegevens\2011-maatwerkleveringen%20en%20eigen%20onderzoeken\Transacties-NVM-kad-2007-2011-kw.+WMC%20index.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S:\WONINGMARKTgegevens\2011-maatwerkleveringen%20en%20eigen%20onderzoeken\Transacties-NVM-kad-2007-2011-kw.+WMC%20index.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S:\WONINGMARKTgegevens\2011-maatwerkleveringen%20en%20eigen%20onderzoeken\Transacties-NVM-kad-2007-2011-kw.+WMC%20index.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S:\WONINGMARKTgegevens\2011-maatwerkleveringen%20en%20eigen%20onderzoeken\Transacties-NVM-kad-2007-2011-kw.+WMC%20inde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nl-NL"/>
  <c:chart>
    <c:title>
      <c:tx>
        <c:rich>
          <a:bodyPr/>
          <a:lstStyle/>
          <a:p>
            <a:pPr>
              <a:defRPr sz="1600" b="0" i="0" u="none" strike="noStrike" baseline="0">
                <a:solidFill>
                  <a:srgbClr val="000000"/>
                </a:solidFill>
                <a:latin typeface="Calibri"/>
                <a:ea typeface="Calibri"/>
                <a:cs typeface="Calibri"/>
              </a:defRPr>
            </a:pPr>
            <a:r>
              <a:rPr lang="nl-NL" sz="1400"/>
              <a:t>Huizenprijzen Nederland per kwartaal 2007-2011</a:t>
            </a:r>
          </a:p>
        </c:rich>
      </c:tx>
      <c:layout>
        <c:manualLayout>
          <c:xMode val="edge"/>
          <c:yMode val="edge"/>
          <c:x val="0.18278842947322174"/>
          <c:y val="1.6389004006078192E-2"/>
        </c:manualLayout>
      </c:layout>
      <c:overlay val="1"/>
    </c:title>
    <c:plotArea>
      <c:layout>
        <c:manualLayout>
          <c:layoutTarget val="inner"/>
          <c:xMode val="edge"/>
          <c:yMode val="edge"/>
          <c:x val="6.4198443197962474E-2"/>
          <c:y val="1.8714332329511387E-2"/>
          <c:w val="0.91051155736412592"/>
          <c:h val="0.81399290813869163"/>
        </c:manualLayout>
      </c:layout>
      <c:lineChart>
        <c:grouping val="standard"/>
        <c:ser>
          <c:idx val="0"/>
          <c:order val="0"/>
          <c:tx>
            <c:v>PBK kad</c:v>
          </c:tx>
          <c:marker>
            <c:symbol val="none"/>
          </c:marker>
          <c:cat>
            <c:strRef>
              <c:f>Blad1!$A$6:$A$25</c:f>
              <c:strCache>
                <c:ptCount val="20"/>
                <c:pt idx="0">
                  <c:v>2007-1</c:v>
                </c:pt>
                <c:pt idx="1">
                  <c:v>2007-2</c:v>
                </c:pt>
                <c:pt idx="2">
                  <c:v>2007-3</c:v>
                </c:pt>
                <c:pt idx="3">
                  <c:v>2007-4</c:v>
                </c:pt>
                <c:pt idx="4">
                  <c:v>2008-1</c:v>
                </c:pt>
                <c:pt idx="5">
                  <c:v>2008-2</c:v>
                </c:pt>
                <c:pt idx="6">
                  <c:v>2008-3</c:v>
                </c:pt>
                <c:pt idx="7">
                  <c:v>2008-4</c:v>
                </c:pt>
                <c:pt idx="8">
                  <c:v>2009-1</c:v>
                </c:pt>
                <c:pt idx="9">
                  <c:v>2009-2</c:v>
                </c:pt>
                <c:pt idx="10">
                  <c:v>2009-3</c:v>
                </c:pt>
                <c:pt idx="11">
                  <c:v>2009-4</c:v>
                </c:pt>
                <c:pt idx="12">
                  <c:v>2010-1</c:v>
                </c:pt>
                <c:pt idx="13">
                  <c:v>2010-2</c:v>
                </c:pt>
                <c:pt idx="14">
                  <c:v>2010-3</c:v>
                </c:pt>
                <c:pt idx="15">
                  <c:v>2010-4</c:v>
                </c:pt>
                <c:pt idx="16">
                  <c:v>2011-1</c:v>
                </c:pt>
                <c:pt idx="17">
                  <c:v>2011-2</c:v>
                </c:pt>
                <c:pt idx="18">
                  <c:v>2011-3</c:v>
                </c:pt>
                <c:pt idx="19">
                  <c:v>2011-4</c:v>
                </c:pt>
              </c:strCache>
            </c:strRef>
          </c:cat>
          <c:val>
            <c:numRef>
              <c:f>Blad1!$K$6:$K$25</c:f>
              <c:numCache>
                <c:formatCode>#,##0</c:formatCode>
                <c:ptCount val="20"/>
                <c:pt idx="0">
                  <c:v>238289</c:v>
                </c:pt>
                <c:pt idx="1">
                  <c:v>241406.8</c:v>
                </c:pt>
                <c:pt idx="2">
                  <c:v>247197</c:v>
                </c:pt>
                <c:pt idx="3">
                  <c:v>245860.8</c:v>
                </c:pt>
                <c:pt idx="4">
                  <c:v>248310.5</c:v>
                </c:pt>
                <c:pt idx="5">
                  <c:v>248978.6</c:v>
                </c:pt>
                <c:pt idx="6">
                  <c:v>251873.7</c:v>
                </c:pt>
                <c:pt idx="7">
                  <c:v>250092.1</c:v>
                </c:pt>
                <c:pt idx="8">
                  <c:v>247642.4</c:v>
                </c:pt>
                <c:pt idx="9">
                  <c:v>242074.9</c:v>
                </c:pt>
                <c:pt idx="10">
                  <c:v>238957.1</c:v>
                </c:pt>
                <c:pt idx="11">
                  <c:v>237398.2</c:v>
                </c:pt>
                <c:pt idx="12">
                  <c:v>236730.1</c:v>
                </c:pt>
                <c:pt idx="13">
                  <c:v>237398.2</c:v>
                </c:pt>
                <c:pt idx="14">
                  <c:v>237620.9</c:v>
                </c:pt>
                <c:pt idx="15">
                  <c:v>234948.5</c:v>
                </c:pt>
                <c:pt idx="16">
                  <c:v>233835</c:v>
                </c:pt>
                <c:pt idx="17">
                  <c:v>232721.5</c:v>
                </c:pt>
                <c:pt idx="18">
                  <c:v>231162</c:v>
                </c:pt>
                <c:pt idx="19">
                  <c:v>230000</c:v>
                </c:pt>
              </c:numCache>
            </c:numRef>
          </c:val>
        </c:ser>
        <c:ser>
          <c:idx val="1"/>
          <c:order val="1"/>
          <c:tx>
            <c:strRef>
              <c:f>Blad1!$C$4</c:f>
              <c:strCache>
                <c:ptCount val="1"/>
                <c:pt idx="0">
                  <c:v>NVM</c:v>
                </c:pt>
              </c:strCache>
            </c:strRef>
          </c:tx>
          <c:marker>
            <c:symbol val="none"/>
          </c:marker>
          <c:cat>
            <c:strRef>
              <c:f>Blad1!$A$6:$A$25</c:f>
              <c:strCache>
                <c:ptCount val="20"/>
                <c:pt idx="0">
                  <c:v>2007-1</c:v>
                </c:pt>
                <c:pt idx="1">
                  <c:v>2007-2</c:v>
                </c:pt>
                <c:pt idx="2">
                  <c:v>2007-3</c:v>
                </c:pt>
                <c:pt idx="3">
                  <c:v>2007-4</c:v>
                </c:pt>
                <c:pt idx="4">
                  <c:v>2008-1</c:v>
                </c:pt>
                <c:pt idx="5">
                  <c:v>2008-2</c:v>
                </c:pt>
                <c:pt idx="6">
                  <c:v>2008-3</c:v>
                </c:pt>
                <c:pt idx="7">
                  <c:v>2008-4</c:v>
                </c:pt>
                <c:pt idx="8">
                  <c:v>2009-1</c:v>
                </c:pt>
                <c:pt idx="9">
                  <c:v>2009-2</c:v>
                </c:pt>
                <c:pt idx="10">
                  <c:v>2009-3</c:v>
                </c:pt>
                <c:pt idx="11">
                  <c:v>2009-4</c:v>
                </c:pt>
                <c:pt idx="12">
                  <c:v>2010-1</c:v>
                </c:pt>
                <c:pt idx="13">
                  <c:v>2010-2</c:v>
                </c:pt>
                <c:pt idx="14">
                  <c:v>2010-3</c:v>
                </c:pt>
                <c:pt idx="15">
                  <c:v>2010-4</c:v>
                </c:pt>
                <c:pt idx="16">
                  <c:v>2011-1</c:v>
                </c:pt>
                <c:pt idx="17">
                  <c:v>2011-2</c:v>
                </c:pt>
                <c:pt idx="18">
                  <c:v>2011-3</c:v>
                </c:pt>
                <c:pt idx="19">
                  <c:v>2011-4</c:v>
                </c:pt>
              </c:strCache>
            </c:strRef>
          </c:cat>
          <c:val>
            <c:numRef>
              <c:f>Blad1!$C$6:$C$25</c:f>
              <c:numCache>
                <c:formatCode>#,##0</c:formatCode>
                <c:ptCount val="20"/>
                <c:pt idx="0">
                  <c:v>237800</c:v>
                </c:pt>
                <c:pt idx="1">
                  <c:v>246300</c:v>
                </c:pt>
                <c:pt idx="2">
                  <c:v>246400</c:v>
                </c:pt>
                <c:pt idx="3">
                  <c:v>245900</c:v>
                </c:pt>
                <c:pt idx="4">
                  <c:v>242700</c:v>
                </c:pt>
                <c:pt idx="5">
                  <c:v>250800</c:v>
                </c:pt>
                <c:pt idx="6">
                  <c:v>246000</c:v>
                </c:pt>
                <c:pt idx="7">
                  <c:v>233000</c:v>
                </c:pt>
                <c:pt idx="8" formatCode="#,##0_ ;\-#,##0\ ">
                  <c:v>218994.54916301652</c:v>
                </c:pt>
                <c:pt idx="9" formatCode="#,##0_ ;\-#,##0\ ">
                  <c:v>225857.97974622669</c:v>
                </c:pt>
                <c:pt idx="10" formatCode="#,##0_ ;\-#,##0\ ">
                  <c:v>229987.52011664721</c:v>
                </c:pt>
                <c:pt idx="11" formatCode="#,##0_ ;\-#,##0\ ">
                  <c:v>229411.82186112308</c:v>
                </c:pt>
                <c:pt idx="12" formatCode="#,##0_ ;\-#,##0\ ">
                  <c:v>232595.65348732512</c:v>
                </c:pt>
                <c:pt idx="13" formatCode="#,##0_ ;\-#,##0\ ">
                  <c:v>236038.74691367103</c:v>
                </c:pt>
                <c:pt idx="14" formatCode="#,##0_ ;\-#,##0\ ">
                  <c:v>234413.15414943238</c:v>
                </c:pt>
                <c:pt idx="15" formatCode="#,##0_ ;\-#,##0\ ">
                  <c:v>231619.17287188937</c:v>
                </c:pt>
                <c:pt idx="16" formatCode="#,##0_ ;\-#,##0\ ">
                  <c:v>228467.48295488171</c:v>
                </c:pt>
                <c:pt idx="17" formatCode="#,##0_ ;\-#,##0\ ">
                  <c:v>234314.00484536291</c:v>
                </c:pt>
                <c:pt idx="18" formatCode="#,##0_ ;\-#,##0\ ">
                  <c:v>230334.88588592398</c:v>
                </c:pt>
                <c:pt idx="19" formatCode="#,##0_ ;\-#,##0\ ">
                  <c:v>222771.24151070882</c:v>
                </c:pt>
              </c:numCache>
            </c:numRef>
          </c:val>
        </c:ser>
        <c:ser>
          <c:idx val="2"/>
          <c:order val="2"/>
          <c:tx>
            <c:strRef>
              <c:f>Blad1!$D$4</c:f>
              <c:strCache>
                <c:ptCount val="1"/>
                <c:pt idx="0">
                  <c:v>Kadaster absoluut</c:v>
                </c:pt>
              </c:strCache>
            </c:strRef>
          </c:tx>
          <c:marker>
            <c:symbol val="none"/>
          </c:marker>
          <c:cat>
            <c:strRef>
              <c:f>Blad1!$A$6:$A$25</c:f>
              <c:strCache>
                <c:ptCount val="20"/>
                <c:pt idx="0">
                  <c:v>2007-1</c:v>
                </c:pt>
                <c:pt idx="1">
                  <c:v>2007-2</c:v>
                </c:pt>
                <c:pt idx="2">
                  <c:v>2007-3</c:v>
                </c:pt>
                <c:pt idx="3">
                  <c:v>2007-4</c:v>
                </c:pt>
                <c:pt idx="4">
                  <c:v>2008-1</c:v>
                </c:pt>
                <c:pt idx="5">
                  <c:v>2008-2</c:v>
                </c:pt>
                <c:pt idx="6">
                  <c:v>2008-3</c:v>
                </c:pt>
                <c:pt idx="7">
                  <c:v>2008-4</c:v>
                </c:pt>
                <c:pt idx="8">
                  <c:v>2009-1</c:v>
                </c:pt>
                <c:pt idx="9">
                  <c:v>2009-2</c:v>
                </c:pt>
                <c:pt idx="10">
                  <c:v>2009-3</c:v>
                </c:pt>
                <c:pt idx="11">
                  <c:v>2009-4</c:v>
                </c:pt>
                <c:pt idx="12">
                  <c:v>2010-1</c:v>
                </c:pt>
                <c:pt idx="13">
                  <c:v>2010-2</c:v>
                </c:pt>
                <c:pt idx="14">
                  <c:v>2010-3</c:v>
                </c:pt>
                <c:pt idx="15">
                  <c:v>2010-4</c:v>
                </c:pt>
                <c:pt idx="16">
                  <c:v>2011-1</c:v>
                </c:pt>
                <c:pt idx="17">
                  <c:v>2011-2</c:v>
                </c:pt>
                <c:pt idx="18">
                  <c:v>2011-3</c:v>
                </c:pt>
                <c:pt idx="19">
                  <c:v>2011-4</c:v>
                </c:pt>
              </c:strCache>
            </c:strRef>
          </c:cat>
          <c:val>
            <c:numRef>
              <c:f>Blad1!$D$6:$D$25</c:f>
              <c:numCache>
                <c:formatCode>#,##0</c:formatCode>
                <c:ptCount val="20"/>
                <c:pt idx="0">
                  <c:v>242500</c:v>
                </c:pt>
                <c:pt idx="1">
                  <c:v>246000</c:v>
                </c:pt>
                <c:pt idx="2">
                  <c:v>253700</c:v>
                </c:pt>
                <c:pt idx="3">
                  <c:v>250200</c:v>
                </c:pt>
                <c:pt idx="4">
                  <c:v>253300</c:v>
                </c:pt>
                <c:pt idx="5">
                  <c:v>253500</c:v>
                </c:pt>
                <c:pt idx="6">
                  <c:v>259400</c:v>
                </c:pt>
                <c:pt idx="7">
                  <c:v>253000</c:v>
                </c:pt>
                <c:pt idx="8">
                  <c:v>247700</c:v>
                </c:pt>
                <c:pt idx="9">
                  <c:v>235500</c:v>
                </c:pt>
                <c:pt idx="10">
                  <c:v>233600</c:v>
                </c:pt>
                <c:pt idx="11">
                  <c:v>237800</c:v>
                </c:pt>
                <c:pt idx="12">
                  <c:v>236700</c:v>
                </c:pt>
                <c:pt idx="13">
                  <c:v>240000</c:v>
                </c:pt>
                <c:pt idx="14">
                  <c:v>244400</c:v>
                </c:pt>
                <c:pt idx="15">
                  <c:v>236700</c:v>
                </c:pt>
                <c:pt idx="16">
                  <c:v>240100</c:v>
                </c:pt>
                <c:pt idx="17">
                  <c:v>241900</c:v>
                </c:pt>
                <c:pt idx="18">
                  <c:v>245500</c:v>
                </c:pt>
                <c:pt idx="19">
                  <c:v>233229</c:v>
                </c:pt>
              </c:numCache>
            </c:numRef>
          </c:val>
        </c:ser>
        <c:marker val="1"/>
        <c:axId val="66597248"/>
        <c:axId val="66599936"/>
      </c:lineChart>
      <c:catAx>
        <c:axId val="66597248"/>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nl-NL"/>
          </a:p>
        </c:txPr>
        <c:crossAx val="66599936"/>
        <c:crosses val="autoZero"/>
        <c:auto val="1"/>
        <c:lblAlgn val="ctr"/>
        <c:lblOffset val="100"/>
      </c:catAx>
      <c:valAx>
        <c:axId val="66599936"/>
        <c:scaling>
          <c:orientation val="minMax"/>
        </c:scaling>
        <c:axPos val="l"/>
        <c:majorGridlines/>
        <c:numFmt formatCode="#,##0" sourceLinked="1"/>
        <c:tickLblPos val="nextTo"/>
        <c:txPr>
          <a:bodyPr rot="0" vert="horz"/>
          <a:lstStyle/>
          <a:p>
            <a:pPr>
              <a:defRPr sz="1000" b="0" i="0" u="none" strike="noStrike" baseline="0">
                <a:solidFill>
                  <a:srgbClr val="000000"/>
                </a:solidFill>
                <a:latin typeface="Calibri"/>
                <a:ea typeface="Calibri"/>
                <a:cs typeface="Calibri"/>
              </a:defRPr>
            </a:pPr>
            <a:endParaRPr lang="nl-NL"/>
          </a:p>
        </c:txPr>
        <c:crossAx val="66597248"/>
        <c:crosses val="autoZero"/>
        <c:crossBetween val="between"/>
      </c:valAx>
    </c:plotArea>
    <c:legend>
      <c:legendPos val="r"/>
      <c:layout>
        <c:manualLayout>
          <c:xMode val="edge"/>
          <c:yMode val="edge"/>
          <c:x val="0.43030872837236162"/>
          <c:y val="0.87704577194378963"/>
          <c:w val="0.55501527473000301"/>
          <c:h val="8.7427455201957147E-2"/>
        </c:manualLayout>
      </c:layout>
      <c:txPr>
        <a:bodyPr/>
        <a:lstStyle/>
        <a:p>
          <a:pPr>
            <a:defRPr sz="775" b="0" i="0" u="none" strike="noStrike" baseline="0">
              <a:solidFill>
                <a:srgbClr val="000000"/>
              </a:solidFill>
              <a:latin typeface="Calibri"/>
              <a:ea typeface="Calibri"/>
              <a:cs typeface="Calibri"/>
            </a:defRPr>
          </a:pPr>
          <a:endParaRPr lang="nl-NL"/>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nl-NL"/>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nl-NL"/>
  <c:chart>
    <c:plotArea>
      <c:layout>
        <c:manualLayout>
          <c:layoutTarget val="inner"/>
          <c:xMode val="edge"/>
          <c:yMode val="edge"/>
          <c:x val="9.0025047077265385E-2"/>
          <c:y val="0.16282037401574787"/>
          <c:w val="0.70849389674898222"/>
          <c:h val="0.68502952755905622"/>
        </c:manualLayout>
      </c:layout>
      <c:lineChart>
        <c:grouping val="standard"/>
        <c:ser>
          <c:idx val="0"/>
          <c:order val="0"/>
          <c:tx>
            <c:strRef>
              <c:f>'data provincies-totaal'!$C$148</c:f>
              <c:strCache>
                <c:ptCount val="1"/>
                <c:pt idx="0">
                  <c:v>2/1 kapwoning</c:v>
                </c:pt>
              </c:strCache>
            </c:strRef>
          </c:tx>
          <c:cat>
            <c:numRef>
              <c:f>'data provincies-totaal'!$D$147:$J$147</c:f>
              <c:numCache>
                <c:formatCode>General</c:formatCode>
                <c:ptCount val="7"/>
                <c:pt idx="0">
                  <c:v>2005</c:v>
                </c:pt>
                <c:pt idx="1">
                  <c:v>2006</c:v>
                </c:pt>
                <c:pt idx="2">
                  <c:v>2007</c:v>
                </c:pt>
                <c:pt idx="3">
                  <c:v>2008</c:v>
                </c:pt>
                <c:pt idx="4">
                  <c:v>2009</c:v>
                </c:pt>
                <c:pt idx="5">
                  <c:v>2010</c:v>
                </c:pt>
                <c:pt idx="6">
                  <c:v>2011</c:v>
                </c:pt>
              </c:numCache>
            </c:numRef>
          </c:cat>
          <c:val>
            <c:numRef>
              <c:f>'data provincies-totaal'!$D$148:$J$148</c:f>
              <c:numCache>
                <c:formatCode>#,##0</c:formatCode>
                <c:ptCount val="7"/>
                <c:pt idx="0">
                  <c:v>257004</c:v>
                </c:pt>
                <c:pt idx="1">
                  <c:v>271937</c:v>
                </c:pt>
                <c:pt idx="2">
                  <c:v>283259</c:v>
                </c:pt>
                <c:pt idx="3">
                  <c:v>294737</c:v>
                </c:pt>
                <c:pt idx="4">
                  <c:v>270606</c:v>
                </c:pt>
                <c:pt idx="5">
                  <c:v>271991</c:v>
                </c:pt>
                <c:pt idx="6">
                  <c:v>274250</c:v>
                </c:pt>
              </c:numCache>
            </c:numRef>
          </c:val>
        </c:ser>
        <c:ser>
          <c:idx val="1"/>
          <c:order val="1"/>
          <c:tx>
            <c:strRef>
              <c:f>'data provincies-totaal'!$C$149</c:f>
              <c:strCache>
                <c:ptCount val="1"/>
                <c:pt idx="0">
                  <c:v>Appartement</c:v>
                </c:pt>
              </c:strCache>
            </c:strRef>
          </c:tx>
          <c:cat>
            <c:numRef>
              <c:f>'data provincies-totaal'!$D$147:$J$147</c:f>
              <c:numCache>
                <c:formatCode>General</c:formatCode>
                <c:ptCount val="7"/>
                <c:pt idx="0">
                  <c:v>2005</c:v>
                </c:pt>
                <c:pt idx="1">
                  <c:v>2006</c:v>
                </c:pt>
                <c:pt idx="2">
                  <c:v>2007</c:v>
                </c:pt>
                <c:pt idx="3">
                  <c:v>2008</c:v>
                </c:pt>
                <c:pt idx="4">
                  <c:v>2009</c:v>
                </c:pt>
                <c:pt idx="5">
                  <c:v>2010</c:v>
                </c:pt>
                <c:pt idx="6">
                  <c:v>2011</c:v>
                </c:pt>
              </c:numCache>
            </c:numRef>
          </c:cat>
          <c:val>
            <c:numRef>
              <c:f>'data provincies-totaal'!$D$149:$J$149</c:f>
              <c:numCache>
                <c:formatCode>#,##0</c:formatCode>
                <c:ptCount val="7"/>
                <c:pt idx="0">
                  <c:v>164914</c:v>
                </c:pt>
                <c:pt idx="1">
                  <c:v>173973</c:v>
                </c:pt>
                <c:pt idx="2">
                  <c:v>185747</c:v>
                </c:pt>
                <c:pt idx="3">
                  <c:v>195121</c:v>
                </c:pt>
                <c:pt idx="4">
                  <c:v>186370</c:v>
                </c:pt>
                <c:pt idx="5">
                  <c:v>189543</c:v>
                </c:pt>
                <c:pt idx="6">
                  <c:v>189420</c:v>
                </c:pt>
              </c:numCache>
            </c:numRef>
          </c:val>
        </c:ser>
        <c:ser>
          <c:idx val="2"/>
          <c:order val="2"/>
          <c:tx>
            <c:strRef>
              <c:f>'data provincies-totaal'!$C$150</c:f>
              <c:strCache>
                <c:ptCount val="1"/>
                <c:pt idx="0">
                  <c:v>Hoekwoning</c:v>
                </c:pt>
              </c:strCache>
            </c:strRef>
          </c:tx>
          <c:cat>
            <c:numRef>
              <c:f>'data provincies-totaal'!$D$147:$J$147</c:f>
              <c:numCache>
                <c:formatCode>General</c:formatCode>
                <c:ptCount val="7"/>
                <c:pt idx="0">
                  <c:v>2005</c:v>
                </c:pt>
                <c:pt idx="1">
                  <c:v>2006</c:v>
                </c:pt>
                <c:pt idx="2">
                  <c:v>2007</c:v>
                </c:pt>
                <c:pt idx="3">
                  <c:v>2008</c:v>
                </c:pt>
                <c:pt idx="4">
                  <c:v>2009</c:v>
                </c:pt>
                <c:pt idx="5">
                  <c:v>2010</c:v>
                </c:pt>
                <c:pt idx="6">
                  <c:v>2011</c:v>
                </c:pt>
              </c:numCache>
            </c:numRef>
          </c:cat>
          <c:val>
            <c:numRef>
              <c:f>'data provincies-totaal'!$D$150:$J$150</c:f>
              <c:numCache>
                <c:formatCode>#,##0</c:formatCode>
                <c:ptCount val="7"/>
                <c:pt idx="0">
                  <c:v>220914</c:v>
                </c:pt>
                <c:pt idx="1">
                  <c:v>233086</c:v>
                </c:pt>
                <c:pt idx="2">
                  <c:v>243055</c:v>
                </c:pt>
                <c:pt idx="3">
                  <c:v>248318</c:v>
                </c:pt>
                <c:pt idx="4">
                  <c:v>233981</c:v>
                </c:pt>
                <c:pt idx="5">
                  <c:v>235424</c:v>
                </c:pt>
                <c:pt idx="6">
                  <c:v>232583</c:v>
                </c:pt>
              </c:numCache>
            </c:numRef>
          </c:val>
        </c:ser>
        <c:ser>
          <c:idx val="3"/>
          <c:order val="3"/>
          <c:tx>
            <c:strRef>
              <c:f>'data provincies-totaal'!$C$152</c:f>
              <c:strCache>
                <c:ptCount val="1"/>
                <c:pt idx="0">
                  <c:v>Tussenwoning</c:v>
                </c:pt>
              </c:strCache>
            </c:strRef>
          </c:tx>
          <c:cat>
            <c:numRef>
              <c:f>'data provincies-totaal'!$D$147:$J$147</c:f>
              <c:numCache>
                <c:formatCode>General</c:formatCode>
                <c:ptCount val="7"/>
                <c:pt idx="0">
                  <c:v>2005</c:v>
                </c:pt>
                <c:pt idx="1">
                  <c:v>2006</c:v>
                </c:pt>
                <c:pt idx="2">
                  <c:v>2007</c:v>
                </c:pt>
                <c:pt idx="3">
                  <c:v>2008</c:v>
                </c:pt>
                <c:pt idx="4">
                  <c:v>2009</c:v>
                </c:pt>
                <c:pt idx="5">
                  <c:v>2010</c:v>
                </c:pt>
                <c:pt idx="6">
                  <c:v>2011</c:v>
                </c:pt>
              </c:numCache>
            </c:numRef>
          </c:cat>
          <c:val>
            <c:numRef>
              <c:f>'data provincies-totaal'!$D$152:$J$152</c:f>
              <c:numCache>
                <c:formatCode>#,##0</c:formatCode>
                <c:ptCount val="7"/>
                <c:pt idx="0">
                  <c:v>208205</c:v>
                </c:pt>
                <c:pt idx="1">
                  <c:v>220218</c:v>
                </c:pt>
                <c:pt idx="2">
                  <c:v>228597</c:v>
                </c:pt>
                <c:pt idx="3">
                  <c:v>235042</c:v>
                </c:pt>
                <c:pt idx="4">
                  <c:v>225890</c:v>
                </c:pt>
                <c:pt idx="5">
                  <c:v>224593</c:v>
                </c:pt>
                <c:pt idx="6">
                  <c:v>222444</c:v>
                </c:pt>
              </c:numCache>
            </c:numRef>
          </c:val>
        </c:ser>
        <c:ser>
          <c:idx val="4"/>
          <c:order val="4"/>
          <c:tx>
            <c:strRef>
              <c:f>'data provincies-totaal'!$C$153</c:f>
              <c:strCache>
                <c:ptCount val="1"/>
                <c:pt idx="0">
                  <c:v>Vrijstaand</c:v>
                </c:pt>
              </c:strCache>
            </c:strRef>
          </c:tx>
          <c:cat>
            <c:numRef>
              <c:f>'data provincies-totaal'!$D$147:$J$147</c:f>
              <c:numCache>
                <c:formatCode>General</c:formatCode>
                <c:ptCount val="7"/>
                <c:pt idx="0">
                  <c:v>2005</c:v>
                </c:pt>
                <c:pt idx="1">
                  <c:v>2006</c:v>
                </c:pt>
                <c:pt idx="2">
                  <c:v>2007</c:v>
                </c:pt>
                <c:pt idx="3">
                  <c:v>2008</c:v>
                </c:pt>
                <c:pt idx="4">
                  <c:v>2009</c:v>
                </c:pt>
                <c:pt idx="5">
                  <c:v>2010</c:v>
                </c:pt>
                <c:pt idx="6">
                  <c:v>2011</c:v>
                </c:pt>
              </c:numCache>
            </c:numRef>
          </c:cat>
          <c:val>
            <c:numRef>
              <c:f>'data provincies-totaal'!$D$153:$J$153</c:f>
              <c:numCache>
                <c:formatCode>#,##0</c:formatCode>
                <c:ptCount val="7"/>
                <c:pt idx="0">
                  <c:v>369986</c:v>
                </c:pt>
                <c:pt idx="1">
                  <c:v>389411</c:v>
                </c:pt>
                <c:pt idx="2">
                  <c:v>413739</c:v>
                </c:pt>
                <c:pt idx="3">
                  <c:v>424608</c:v>
                </c:pt>
                <c:pt idx="4">
                  <c:v>393149</c:v>
                </c:pt>
                <c:pt idx="5">
                  <c:v>386784</c:v>
                </c:pt>
                <c:pt idx="6">
                  <c:v>384663</c:v>
                </c:pt>
              </c:numCache>
            </c:numRef>
          </c:val>
        </c:ser>
        <c:marker val="1"/>
        <c:axId val="71620864"/>
        <c:axId val="79179776"/>
      </c:lineChart>
      <c:catAx>
        <c:axId val="71620864"/>
        <c:scaling>
          <c:orientation val="minMax"/>
        </c:scaling>
        <c:axPos val="b"/>
        <c:numFmt formatCode="General" sourceLinked="1"/>
        <c:tickLblPos val="nextTo"/>
        <c:crossAx val="79179776"/>
        <c:crosses val="autoZero"/>
        <c:auto val="1"/>
        <c:lblAlgn val="ctr"/>
        <c:lblOffset val="100"/>
      </c:catAx>
      <c:valAx>
        <c:axId val="79179776"/>
        <c:scaling>
          <c:orientation val="minMax"/>
          <c:min val="150000"/>
        </c:scaling>
        <c:axPos val="l"/>
        <c:majorGridlines/>
        <c:numFmt formatCode="#,##0" sourceLinked="1"/>
        <c:tickLblPos val="nextTo"/>
        <c:crossAx val="71620864"/>
        <c:crosses val="autoZero"/>
        <c:crossBetween val="between"/>
      </c:valAx>
    </c:plotArea>
    <c:legend>
      <c:legendPos val="r"/>
      <c:layout/>
    </c:legend>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l-NL"/>
  <c:chart>
    <c:plotArea>
      <c:layout>
        <c:manualLayout>
          <c:layoutTarget val="inner"/>
          <c:xMode val="edge"/>
          <c:yMode val="edge"/>
          <c:x val="9.0025047077265455E-2"/>
          <c:y val="0.16282037401574787"/>
          <c:w val="0.70849389674898244"/>
          <c:h val="0.68502952755905644"/>
        </c:manualLayout>
      </c:layout>
      <c:lineChart>
        <c:grouping val="standard"/>
        <c:ser>
          <c:idx val="0"/>
          <c:order val="0"/>
          <c:tx>
            <c:strRef>
              <c:f>'data provincies-totaal'!$C$148</c:f>
              <c:strCache>
                <c:ptCount val="1"/>
                <c:pt idx="0">
                  <c:v>2/1 kapwoning</c:v>
                </c:pt>
              </c:strCache>
            </c:strRef>
          </c:tx>
          <c:cat>
            <c:numRef>
              <c:f>'data provincies-totaal'!$D$147:$J$147</c:f>
              <c:numCache>
                <c:formatCode>General</c:formatCode>
                <c:ptCount val="7"/>
                <c:pt idx="0">
                  <c:v>2005</c:v>
                </c:pt>
                <c:pt idx="1">
                  <c:v>2006</c:v>
                </c:pt>
                <c:pt idx="2">
                  <c:v>2007</c:v>
                </c:pt>
                <c:pt idx="3">
                  <c:v>2008</c:v>
                </c:pt>
                <c:pt idx="4">
                  <c:v>2009</c:v>
                </c:pt>
                <c:pt idx="5">
                  <c:v>2010</c:v>
                </c:pt>
                <c:pt idx="6">
                  <c:v>2011</c:v>
                </c:pt>
              </c:numCache>
            </c:numRef>
          </c:cat>
          <c:val>
            <c:numRef>
              <c:f>'data provincies-totaal'!$D$156:$J$156</c:f>
              <c:numCache>
                <c:formatCode>#,##0</c:formatCode>
                <c:ptCount val="7"/>
                <c:pt idx="0">
                  <c:v>21525</c:v>
                </c:pt>
                <c:pt idx="1">
                  <c:v>22092</c:v>
                </c:pt>
                <c:pt idx="2">
                  <c:v>21609</c:v>
                </c:pt>
                <c:pt idx="3">
                  <c:v>19303</c:v>
                </c:pt>
                <c:pt idx="4">
                  <c:v>13095</c:v>
                </c:pt>
                <c:pt idx="5">
                  <c:v>13379</c:v>
                </c:pt>
                <c:pt idx="6">
                  <c:v>12993</c:v>
                </c:pt>
              </c:numCache>
            </c:numRef>
          </c:val>
        </c:ser>
        <c:ser>
          <c:idx val="1"/>
          <c:order val="1"/>
          <c:tx>
            <c:strRef>
              <c:f>'data provincies-totaal'!$C$149</c:f>
              <c:strCache>
                <c:ptCount val="1"/>
                <c:pt idx="0">
                  <c:v>Appartement</c:v>
                </c:pt>
              </c:strCache>
            </c:strRef>
          </c:tx>
          <c:cat>
            <c:numRef>
              <c:f>'data provincies-totaal'!$D$147:$J$147</c:f>
              <c:numCache>
                <c:formatCode>General</c:formatCode>
                <c:ptCount val="7"/>
                <c:pt idx="0">
                  <c:v>2005</c:v>
                </c:pt>
                <c:pt idx="1">
                  <c:v>2006</c:v>
                </c:pt>
                <c:pt idx="2">
                  <c:v>2007</c:v>
                </c:pt>
                <c:pt idx="3">
                  <c:v>2008</c:v>
                </c:pt>
                <c:pt idx="4">
                  <c:v>2009</c:v>
                </c:pt>
                <c:pt idx="5">
                  <c:v>2010</c:v>
                </c:pt>
                <c:pt idx="6">
                  <c:v>2011</c:v>
                </c:pt>
              </c:numCache>
            </c:numRef>
          </c:cat>
          <c:val>
            <c:numRef>
              <c:f>'data provincies-totaal'!$D$157:$J$157</c:f>
              <c:numCache>
                <c:formatCode>#,##0</c:formatCode>
                <c:ptCount val="7"/>
                <c:pt idx="0">
                  <c:v>54353</c:v>
                </c:pt>
                <c:pt idx="1">
                  <c:v>52657</c:v>
                </c:pt>
                <c:pt idx="2">
                  <c:v>54608</c:v>
                </c:pt>
                <c:pt idx="3">
                  <c:v>54117</c:v>
                </c:pt>
                <c:pt idx="4">
                  <c:v>39555</c:v>
                </c:pt>
                <c:pt idx="5">
                  <c:v>39037</c:v>
                </c:pt>
                <c:pt idx="6">
                  <c:v>36139</c:v>
                </c:pt>
              </c:numCache>
            </c:numRef>
          </c:val>
        </c:ser>
        <c:ser>
          <c:idx val="2"/>
          <c:order val="2"/>
          <c:tx>
            <c:strRef>
              <c:f>'data provincies-totaal'!$C$150</c:f>
              <c:strCache>
                <c:ptCount val="1"/>
                <c:pt idx="0">
                  <c:v>Hoekwoning</c:v>
                </c:pt>
              </c:strCache>
            </c:strRef>
          </c:tx>
          <c:cat>
            <c:numRef>
              <c:f>'data provincies-totaal'!$D$147:$J$147</c:f>
              <c:numCache>
                <c:formatCode>General</c:formatCode>
                <c:ptCount val="7"/>
                <c:pt idx="0">
                  <c:v>2005</c:v>
                </c:pt>
                <c:pt idx="1">
                  <c:v>2006</c:v>
                </c:pt>
                <c:pt idx="2">
                  <c:v>2007</c:v>
                </c:pt>
                <c:pt idx="3">
                  <c:v>2008</c:v>
                </c:pt>
                <c:pt idx="4">
                  <c:v>2009</c:v>
                </c:pt>
                <c:pt idx="5">
                  <c:v>2010</c:v>
                </c:pt>
                <c:pt idx="6">
                  <c:v>2011</c:v>
                </c:pt>
              </c:numCache>
            </c:numRef>
          </c:cat>
          <c:val>
            <c:numRef>
              <c:f>'data provincies-totaal'!$D$158:$J$158</c:f>
              <c:numCache>
                <c:formatCode>#,##0</c:formatCode>
                <c:ptCount val="7"/>
                <c:pt idx="0">
                  <c:v>26844</c:v>
                </c:pt>
                <c:pt idx="1">
                  <c:v>26136</c:v>
                </c:pt>
                <c:pt idx="2">
                  <c:v>25862</c:v>
                </c:pt>
                <c:pt idx="3">
                  <c:v>23949</c:v>
                </c:pt>
                <c:pt idx="4">
                  <c:v>17055</c:v>
                </c:pt>
                <c:pt idx="5">
                  <c:v>16585</c:v>
                </c:pt>
                <c:pt idx="6">
                  <c:v>15948</c:v>
                </c:pt>
              </c:numCache>
            </c:numRef>
          </c:val>
        </c:ser>
        <c:ser>
          <c:idx val="3"/>
          <c:order val="3"/>
          <c:tx>
            <c:strRef>
              <c:f>'data provincies-totaal'!$C$152</c:f>
              <c:strCache>
                <c:ptCount val="1"/>
                <c:pt idx="0">
                  <c:v>Tussenwoning</c:v>
                </c:pt>
              </c:strCache>
            </c:strRef>
          </c:tx>
          <c:cat>
            <c:numRef>
              <c:f>'data provincies-totaal'!$D$147:$J$147</c:f>
              <c:numCache>
                <c:formatCode>General</c:formatCode>
                <c:ptCount val="7"/>
                <c:pt idx="0">
                  <c:v>2005</c:v>
                </c:pt>
                <c:pt idx="1">
                  <c:v>2006</c:v>
                </c:pt>
                <c:pt idx="2">
                  <c:v>2007</c:v>
                </c:pt>
                <c:pt idx="3">
                  <c:v>2008</c:v>
                </c:pt>
                <c:pt idx="4">
                  <c:v>2009</c:v>
                </c:pt>
                <c:pt idx="5">
                  <c:v>2010</c:v>
                </c:pt>
                <c:pt idx="6">
                  <c:v>2011</c:v>
                </c:pt>
              </c:numCache>
            </c:numRef>
          </c:cat>
          <c:val>
            <c:numRef>
              <c:f>'data provincies-totaal'!$D$160:$J$160</c:f>
              <c:numCache>
                <c:formatCode>#,##0</c:formatCode>
                <c:ptCount val="7"/>
                <c:pt idx="0">
                  <c:v>68513</c:v>
                </c:pt>
                <c:pt idx="1">
                  <c:v>71305</c:v>
                </c:pt>
                <c:pt idx="2">
                  <c:v>64656</c:v>
                </c:pt>
                <c:pt idx="3">
                  <c:v>59689</c:v>
                </c:pt>
                <c:pt idx="4">
                  <c:v>41551</c:v>
                </c:pt>
                <c:pt idx="5">
                  <c:v>40160</c:v>
                </c:pt>
                <c:pt idx="6">
                  <c:v>38570</c:v>
                </c:pt>
              </c:numCache>
            </c:numRef>
          </c:val>
        </c:ser>
        <c:ser>
          <c:idx val="4"/>
          <c:order val="4"/>
          <c:tx>
            <c:strRef>
              <c:f>'data provincies-totaal'!$C$153</c:f>
              <c:strCache>
                <c:ptCount val="1"/>
                <c:pt idx="0">
                  <c:v>Vrijstaand</c:v>
                </c:pt>
              </c:strCache>
            </c:strRef>
          </c:tx>
          <c:cat>
            <c:numRef>
              <c:f>'data provincies-totaal'!$D$147:$J$147</c:f>
              <c:numCache>
                <c:formatCode>General</c:formatCode>
                <c:ptCount val="7"/>
                <c:pt idx="0">
                  <c:v>2005</c:v>
                </c:pt>
                <c:pt idx="1">
                  <c:v>2006</c:v>
                </c:pt>
                <c:pt idx="2">
                  <c:v>2007</c:v>
                </c:pt>
                <c:pt idx="3">
                  <c:v>2008</c:v>
                </c:pt>
                <c:pt idx="4">
                  <c:v>2009</c:v>
                </c:pt>
                <c:pt idx="5">
                  <c:v>2010</c:v>
                </c:pt>
                <c:pt idx="6">
                  <c:v>2011</c:v>
                </c:pt>
              </c:numCache>
            </c:numRef>
          </c:cat>
          <c:val>
            <c:numRef>
              <c:f>'data provincies-totaal'!$D$161:$J$161</c:f>
              <c:numCache>
                <c:formatCode>#,##0</c:formatCode>
                <c:ptCount val="7"/>
                <c:pt idx="0">
                  <c:v>21839</c:v>
                </c:pt>
                <c:pt idx="1">
                  <c:v>22258</c:v>
                </c:pt>
                <c:pt idx="2">
                  <c:v>22861</c:v>
                </c:pt>
                <c:pt idx="3">
                  <c:v>19968</c:v>
                </c:pt>
                <c:pt idx="4">
                  <c:v>12651</c:v>
                </c:pt>
                <c:pt idx="5">
                  <c:v>12861</c:v>
                </c:pt>
                <c:pt idx="6">
                  <c:v>13421</c:v>
                </c:pt>
              </c:numCache>
            </c:numRef>
          </c:val>
        </c:ser>
        <c:marker val="1"/>
        <c:axId val="81187584"/>
        <c:axId val="81189888"/>
      </c:lineChart>
      <c:catAx>
        <c:axId val="81187584"/>
        <c:scaling>
          <c:orientation val="minMax"/>
        </c:scaling>
        <c:axPos val="b"/>
        <c:numFmt formatCode="General" sourceLinked="1"/>
        <c:tickLblPos val="nextTo"/>
        <c:crossAx val="81189888"/>
        <c:crosses val="autoZero"/>
        <c:auto val="1"/>
        <c:lblAlgn val="ctr"/>
        <c:lblOffset val="100"/>
      </c:catAx>
      <c:valAx>
        <c:axId val="81189888"/>
        <c:scaling>
          <c:orientation val="minMax"/>
          <c:min val="10000"/>
        </c:scaling>
        <c:axPos val="l"/>
        <c:majorGridlines/>
        <c:numFmt formatCode="#,##0" sourceLinked="1"/>
        <c:tickLblPos val="nextTo"/>
        <c:crossAx val="81187584"/>
        <c:crosses val="autoZero"/>
        <c:crossBetween val="between"/>
      </c:valAx>
    </c:plotArea>
    <c:legend>
      <c:legendPos val="r"/>
      <c:layout/>
    </c:legend>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nl-NL"/>
  <c:chart>
    <c:plotArea>
      <c:layout>
        <c:manualLayout>
          <c:layoutTarget val="inner"/>
          <c:xMode val="edge"/>
          <c:yMode val="edge"/>
          <c:x val="7.1759766569719496E-2"/>
          <c:y val="0.13662219191869138"/>
          <c:w val="0.88429580453074463"/>
          <c:h val="0.72366104549705312"/>
        </c:manualLayout>
      </c:layout>
      <c:lineChart>
        <c:grouping val="standard"/>
        <c:ser>
          <c:idx val="0"/>
          <c:order val="0"/>
          <c:tx>
            <c:strRef>
              <c:f>Blad1!$D$52</c:f>
              <c:strCache>
                <c:ptCount val="1"/>
                <c:pt idx="0">
                  <c:v>index absoluut Kadaster</c:v>
                </c:pt>
              </c:strCache>
            </c:strRef>
          </c:tx>
          <c:marker>
            <c:symbol val="none"/>
          </c:marker>
          <c:cat>
            <c:strRef>
              <c:f>Blad1!$B$71:$B$94</c:f>
              <c:strCache>
                <c:ptCount val="24"/>
                <c:pt idx="0">
                  <c:v>2010-01</c:v>
                </c:pt>
                <c:pt idx="1">
                  <c:v>2010-02</c:v>
                </c:pt>
                <c:pt idx="2">
                  <c:v>2010-03</c:v>
                </c:pt>
                <c:pt idx="3">
                  <c:v>2010-04</c:v>
                </c:pt>
                <c:pt idx="4">
                  <c:v>2010-05</c:v>
                </c:pt>
                <c:pt idx="5">
                  <c:v>2010-06</c:v>
                </c:pt>
                <c:pt idx="6">
                  <c:v>2010-07</c:v>
                </c:pt>
                <c:pt idx="7">
                  <c:v>2010-08</c:v>
                </c:pt>
                <c:pt idx="8">
                  <c:v>2010-09</c:v>
                </c:pt>
                <c:pt idx="9">
                  <c:v>2010-10</c:v>
                </c:pt>
                <c:pt idx="10">
                  <c:v>2010-11</c:v>
                </c:pt>
                <c:pt idx="11">
                  <c:v>2010-12</c:v>
                </c:pt>
                <c:pt idx="12">
                  <c:v>2011-01</c:v>
                </c:pt>
                <c:pt idx="13">
                  <c:v>2011-02</c:v>
                </c:pt>
                <c:pt idx="14">
                  <c:v>2011-03</c:v>
                </c:pt>
                <c:pt idx="15">
                  <c:v>2011-04</c:v>
                </c:pt>
                <c:pt idx="16">
                  <c:v>2011-05</c:v>
                </c:pt>
                <c:pt idx="17">
                  <c:v>2011-06</c:v>
                </c:pt>
                <c:pt idx="18">
                  <c:v>2011-07</c:v>
                </c:pt>
                <c:pt idx="19">
                  <c:v>2011-08</c:v>
                </c:pt>
                <c:pt idx="20">
                  <c:v>2011-09</c:v>
                </c:pt>
                <c:pt idx="21">
                  <c:v>2011-10</c:v>
                </c:pt>
                <c:pt idx="22">
                  <c:v>2011-11</c:v>
                </c:pt>
                <c:pt idx="23">
                  <c:v>2011-12</c:v>
                </c:pt>
              </c:strCache>
            </c:strRef>
          </c:cat>
          <c:val>
            <c:numRef>
              <c:f>Blad1!$D$71:$D$94</c:f>
              <c:numCache>
                <c:formatCode>0.0</c:formatCode>
                <c:ptCount val="24"/>
                <c:pt idx="0" formatCode="General">
                  <c:v>108.1</c:v>
                </c:pt>
                <c:pt idx="1">
                  <c:v>105</c:v>
                </c:pt>
                <c:pt idx="2" formatCode="General">
                  <c:v>106.1</c:v>
                </c:pt>
                <c:pt idx="3" formatCode="General">
                  <c:v>108.6</c:v>
                </c:pt>
                <c:pt idx="4" formatCode="General">
                  <c:v>106.3</c:v>
                </c:pt>
                <c:pt idx="5" formatCode="General">
                  <c:v>108.2</c:v>
                </c:pt>
                <c:pt idx="6">
                  <c:v>110</c:v>
                </c:pt>
                <c:pt idx="7" formatCode="General">
                  <c:v>108.8</c:v>
                </c:pt>
                <c:pt idx="8" formatCode="General">
                  <c:v>110.3</c:v>
                </c:pt>
                <c:pt idx="9" formatCode="General">
                  <c:v>108.5</c:v>
                </c:pt>
                <c:pt idx="10" formatCode="General">
                  <c:v>105.4</c:v>
                </c:pt>
                <c:pt idx="11" formatCode="General">
                  <c:v>105.4</c:v>
                </c:pt>
                <c:pt idx="12" formatCode="General">
                  <c:v>108.2</c:v>
                </c:pt>
                <c:pt idx="13" formatCode="General">
                  <c:v>105.3</c:v>
                </c:pt>
                <c:pt idx="14" formatCode="General">
                  <c:v>109.9</c:v>
                </c:pt>
                <c:pt idx="15" formatCode="General">
                  <c:v>109.2</c:v>
                </c:pt>
                <c:pt idx="16" formatCode="General">
                  <c:v>107.9</c:v>
                </c:pt>
                <c:pt idx="17" formatCode="General">
                  <c:v>108.5</c:v>
                </c:pt>
                <c:pt idx="18" formatCode="General">
                  <c:v>112</c:v>
                </c:pt>
                <c:pt idx="19" formatCode="General">
                  <c:v>108.4</c:v>
                </c:pt>
                <c:pt idx="20" formatCode="General">
                  <c:v>110.7</c:v>
                </c:pt>
                <c:pt idx="21" formatCode="General">
                  <c:v>106.6</c:v>
                </c:pt>
                <c:pt idx="22" formatCode="General">
                  <c:v>104.5</c:v>
                </c:pt>
                <c:pt idx="23" formatCode="General">
                  <c:v>103.5</c:v>
                </c:pt>
              </c:numCache>
            </c:numRef>
          </c:val>
        </c:ser>
        <c:ser>
          <c:idx val="1"/>
          <c:order val="1"/>
          <c:tx>
            <c:strRef>
              <c:f>Blad1!$G$52</c:f>
              <c:strCache>
                <c:ptCount val="1"/>
                <c:pt idx="0">
                  <c:v>index PBK CBS/Kadaster</c:v>
                </c:pt>
              </c:strCache>
            </c:strRef>
          </c:tx>
          <c:marker>
            <c:symbol val="none"/>
          </c:marker>
          <c:cat>
            <c:strRef>
              <c:f>Blad1!$B$71:$B$94</c:f>
              <c:strCache>
                <c:ptCount val="24"/>
                <c:pt idx="0">
                  <c:v>2010-01</c:v>
                </c:pt>
                <c:pt idx="1">
                  <c:v>2010-02</c:v>
                </c:pt>
                <c:pt idx="2">
                  <c:v>2010-03</c:v>
                </c:pt>
                <c:pt idx="3">
                  <c:v>2010-04</c:v>
                </c:pt>
                <c:pt idx="4">
                  <c:v>2010-05</c:v>
                </c:pt>
                <c:pt idx="5">
                  <c:v>2010-06</c:v>
                </c:pt>
                <c:pt idx="6">
                  <c:v>2010-07</c:v>
                </c:pt>
                <c:pt idx="7">
                  <c:v>2010-08</c:v>
                </c:pt>
                <c:pt idx="8">
                  <c:v>2010-09</c:v>
                </c:pt>
                <c:pt idx="9">
                  <c:v>2010-10</c:v>
                </c:pt>
                <c:pt idx="10">
                  <c:v>2010-11</c:v>
                </c:pt>
                <c:pt idx="11">
                  <c:v>2010-12</c:v>
                </c:pt>
                <c:pt idx="12">
                  <c:v>2011-01</c:v>
                </c:pt>
                <c:pt idx="13">
                  <c:v>2011-02</c:v>
                </c:pt>
                <c:pt idx="14">
                  <c:v>2011-03</c:v>
                </c:pt>
                <c:pt idx="15">
                  <c:v>2011-04</c:v>
                </c:pt>
                <c:pt idx="16">
                  <c:v>2011-05</c:v>
                </c:pt>
                <c:pt idx="17">
                  <c:v>2011-06</c:v>
                </c:pt>
                <c:pt idx="18">
                  <c:v>2011-07</c:v>
                </c:pt>
                <c:pt idx="19">
                  <c:v>2011-08</c:v>
                </c:pt>
                <c:pt idx="20">
                  <c:v>2011-09</c:v>
                </c:pt>
                <c:pt idx="21">
                  <c:v>2011-10</c:v>
                </c:pt>
                <c:pt idx="22">
                  <c:v>2011-11</c:v>
                </c:pt>
                <c:pt idx="23">
                  <c:v>2011-12</c:v>
                </c:pt>
              </c:strCache>
            </c:strRef>
          </c:cat>
          <c:val>
            <c:numRef>
              <c:f>Blad1!$G$71:$G$93</c:f>
              <c:numCache>
                <c:formatCode>General</c:formatCode>
                <c:ptCount val="23"/>
                <c:pt idx="0">
                  <c:v>106.3</c:v>
                </c:pt>
                <c:pt idx="1">
                  <c:v>106.5</c:v>
                </c:pt>
                <c:pt idx="2">
                  <c:v>106.2</c:v>
                </c:pt>
                <c:pt idx="3">
                  <c:v>107.1</c:v>
                </c:pt>
                <c:pt idx="4">
                  <c:v>106.3</c:v>
                </c:pt>
                <c:pt idx="5">
                  <c:v>106.3</c:v>
                </c:pt>
                <c:pt idx="6" formatCode="0.0">
                  <c:v>107</c:v>
                </c:pt>
                <c:pt idx="7">
                  <c:v>106.8</c:v>
                </c:pt>
                <c:pt idx="8">
                  <c:v>106.3</c:v>
                </c:pt>
                <c:pt idx="9">
                  <c:v>105.8</c:v>
                </c:pt>
                <c:pt idx="10">
                  <c:v>105.5</c:v>
                </c:pt>
                <c:pt idx="11">
                  <c:v>105.3</c:v>
                </c:pt>
                <c:pt idx="12">
                  <c:v>105.1</c:v>
                </c:pt>
                <c:pt idx="13">
                  <c:v>104.9</c:v>
                </c:pt>
                <c:pt idx="14">
                  <c:v>105.1</c:v>
                </c:pt>
                <c:pt idx="15">
                  <c:v>104.7</c:v>
                </c:pt>
                <c:pt idx="16">
                  <c:v>104.4</c:v>
                </c:pt>
                <c:pt idx="17">
                  <c:v>104.3</c:v>
                </c:pt>
                <c:pt idx="18">
                  <c:v>104.5</c:v>
                </c:pt>
                <c:pt idx="19">
                  <c:v>103.8</c:v>
                </c:pt>
                <c:pt idx="20">
                  <c:v>103.2</c:v>
                </c:pt>
                <c:pt idx="21">
                  <c:v>102.8</c:v>
                </c:pt>
                <c:pt idx="22">
                  <c:v>102</c:v>
                </c:pt>
              </c:numCache>
            </c:numRef>
          </c:val>
        </c:ser>
        <c:ser>
          <c:idx val="2"/>
          <c:order val="2"/>
          <c:tx>
            <c:strRef>
              <c:f>Blad1!$N$60</c:f>
              <c:strCache>
                <c:ptCount val="1"/>
                <c:pt idx="0">
                  <c:v>Absoluut-6MV</c:v>
                </c:pt>
              </c:strCache>
            </c:strRef>
          </c:tx>
          <c:marker>
            <c:symbol val="none"/>
          </c:marker>
          <c:cat>
            <c:strRef>
              <c:f>Blad1!$B$71:$B$94</c:f>
              <c:strCache>
                <c:ptCount val="24"/>
                <c:pt idx="0">
                  <c:v>2010-01</c:v>
                </c:pt>
                <c:pt idx="1">
                  <c:v>2010-02</c:v>
                </c:pt>
                <c:pt idx="2">
                  <c:v>2010-03</c:v>
                </c:pt>
                <c:pt idx="3">
                  <c:v>2010-04</c:v>
                </c:pt>
                <c:pt idx="4">
                  <c:v>2010-05</c:v>
                </c:pt>
                <c:pt idx="5">
                  <c:v>2010-06</c:v>
                </c:pt>
                <c:pt idx="6">
                  <c:v>2010-07</c:v>
                </c:pt>
                <c:pt idx="7">
                  <c:v>2010-08</c:v>
                </c:pt>
                <c:pt idx="8">
                  <c:v>2010-09</c:v>
                </c:pt>
                <c:pt idx="9">
                  <c:v>2010-10</c:v>
                </c:pt>
                <c:pt idx="10">
                  <c:v>2010-11</c:v>
                </c:pt>
                <c:pt idx="11">
                  <c:v>2010-12</c:v>
                </c:pt>
                <c:pt idx="12">
                  <c:v>2011-01</c:v>
                </c:pt>
                <c:pt idx="13">
                  <c:v>2011-02</c:v>
                </c:pt>
                <c:pt idx="14">
                  <c:v>2011-03</c:v>
                </c:pt>
                <c:pt idx="15">
                  <c:v>2011-04</c:v>
                </c:pt>
                <c:pt idx="16">
                  <c:v>2011-05</c:v>
                </c:pt>
                <c:pt idx="17">
                  <c:v>2011-06</c:v>
                </c:pt>
                <c:pt idx="18">
                  <c:v>2011-07</c:v>
                </c:pt>
                <c:pt idx="19">
                  <c:v>2011-08</c:v>
                </c:pt>
                <c:pt idx="20">
                  <c:v>2011-09</c:v>
                </c:pt>
                <c:pt idx="21">
                  <c:v>2011-10</c:v>
                </c:pt>
                <c:pt idx="22">
                  <c:v>2011-11</c:v>
                </c:pt>
                <c:pt idx="23">
                  <c:v>2011-12</c:v>
                </c:pt>
              </c:strCache>
            </c:strRef>
          </c:cat>
          <c:val>
            <c:numRef>
              <c:f>Blad1!$N$71:$N$94</c:f>
              <c:numCache>
                <c:formatCode>0.0</c:formatCode>
                <c:ptCount val="24"/>
                <c:pt idx="0">
                  <c:v>106.08333333333331</c:v>
                </c:pt>
                <c:pt idx="1">
                  <c:v>106.26666666666668</c:v>
                </c:pt>
                <c:pt idx="2">
                  <c:v>106.48333333333335</c:v>
                </c:pt>
                <c:pt idx="3">
                  <c:v>106.7166666666667</c:v>
                </c:pt>
                <c:pt idx="4">
                  <c:v>106.95</c:v>
                </c:pt>
                <c:pt idx="5">
                  <c:v>107.05</c:v>
                </c:pt>
                <c:pt idx="6">
                  <c:v>107.36666666666667</c:v>
                </c:pt>
                <c:pt idx="7">
                  <c:v>108</c:v>
                </c:pt>
                <c:pt idx="8">
                  <c:v>108.69999999999999</c:v>
                </c:pt>
                <c:pt idx="9">
                  <c:v>108.68333333333332</c:v>
                </c:pt>
                <c:pt idx="10">
                  <c:v>108.5333333333333</c:v>
                </c:pt>
                <c:pt idx="11">
                  <c:v>108.06666666666666</c:v>
                </c:pt>
                <c:pt idx="12">
                  <c:v>107.76666666666668</c:v>
                </c:pt>
                <c:pt idx="13">
                  <c:v>107.18333333333332</c:v>
                </c:pt>
                <c:pt idx="14">
                  <c:v>107.11666666666666</c:v>
                </c:pt>
                <c:pt idx="15">
                  <c:v>107.23333333333335</c:v>
                </c:pt>
                <c:pt idx="16">
                  <c:v>107.65</c:v>
                </c:pt>
                <c:pt idx="17">
                  <c:v>108.16666666666667</c:v>
                </c:pt>
                <c:pt idx="18">
                  <c:v>108.8</c:v>
                </c:pt>
                <c:pt idx="19">
                  <c:v>109.31666666666666</c:v>
                </c:pt>
                <c:pt idx="20">
                  <c:v>109.45</c:v>
                </c:pt>
                <c:pt idx="21">
                  <c:v>109.01666666666668</c:v>
                </c:pt>
                <c:pt idx="22">
                  <c:v>108.45</c:v>
                </c:pt>
                <c:pt idx="23">
                  <c:v>107.61666666666667</c:v>
                </c:pt>
              </c:numCache>
            </c:numRef>
          </c:val>
        </c:ser>
        <c:marker val="1"/>
        <c:axId val="81251328"/>
        <c:axId val="82311040"/>
      </c:lineChart>
      <c:catAx>
        <c:axId val="81251328"/>
        <c:scaling>
          <c:orientation val="minMax"/>
        </c:scaling>
        <c:axPos val="b"/>
        <c:numFmt formatCode="General" sourceLinked="1"/>
        <c:majorTickMark val="none"/>
        <c:tickLblPos val="nextTo"/>
        <c:txPr>
          <a:bodyPr rot="0" vert="horz"/>
          <a:lstStyle/>
          <a:p>
            <a:pPr>
              <a:defRPr sz="800" b="0" i="0" u="none" strike="noStrike" baseline="0">
                <a:solidFill>
                  <a:srgbClr val="000000"/>
                </a:solidFill>
                <a:latin typeface="Calibri"/>
                <a:ea typeface="Calibri"/>
                <a:cs typeface="Calibri"/>
              </a:defRPr>
            </a:pPr>
            <a:endParaRPr lang="nl-NL"/>
          </a:p>
        </c:txPr>
        <c:crossAx val="82311040"/>
        <c:crosses val="autoZero"/>
        <c:auto val="1"/>
        <c:lblAlgn val="ctr"/>
        <c:lblOffset val="100"/>
      </c:catAx>
      <c:valAx>
        <c:axId val="82311040"/>
        <c:scaling>
          <c:orientation val="minMax"/>
        </c:scaling>
        <c:axPos val="l"/>
        <c:majorGridlines/>
        <c:title>
          <c:tx>
            <c:rich>
              <a:bodyPr/>
              <a:lstStyle/>
              <a:p>
                <a:pPr>
                  <a:defRPr sz="1000" b="1" i="0" u="none" strike="noStrike" baseline="0">
                    <a:solidFill>
                      <a:srgbClr val="000000"/>
                    </a:solidFill>
                    <a:latin typeface="Calibri"/>
                    <a:ea typeface="Calibri"/>
                    <a:cs typeface="Calibri"/>
                  </a:defRPr>
                </a:pPr>
                <a:r>
                  <a:rPr lang="nl-NL"/>
                  <a:t>index 2005=100</a:t>
                </a:r>
              </a:p>
            </c:rich>
          </c:tx>
          <c:layout>
            <c:manualLayout>
              <c:xMode val="edge"/>
              <c:yMode val="edge"/>
              <c:x val="3.0534377647238549E-4"/>
              <c:y val="0.41987902266896776"/>
            </c:manualLayout>
          </c:layout>
        </c:title>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nl-NL"/>
          </a:p>
        </c:txPr>
        <c:crossAx val="81251328"/>
        <c:crosses val="autoZero"/>
        <c:crossBetween val="between"/>
        <c:majorUnit val="2"/>
      </c:valAx>
      <c:spPr>
        <a:ln>
          <a:solidFill>
            <a:schemeClr val="accent1"/>
          </a:solidFill>
        </a:ln>
      </c:spPr>
    </c:plotArea>
    <c:legend>
      <c:legendPos val="r"/>
      <c:layout>
        <c:manualLayout>
          <c:xMode val="edge"/>
          <c:yMode val="edge"/>
          <c:x val="0.39772223656469313"/>
          <c:y val="0.91901416817279857"/>
          <c:w val="0.45965846994535686"/>
          <c:h val="4.4602739264333752E-2"/>
        </c:manualLayout>
      </c:layout>
      <c:txPr>
        <a:bodyPr/>
        <a:lstStyle/>
        <a:p>
          <a:pPr>
            <a:defRPr sz="775" b="0" i="0" u="none" strike="noStrike" baseline="0">
              <a:solidFill>
                <a:srgbClr val="000000"/>
              </a:solidFill>
              <a:latin typeface="Calibri"/>
              <a:ea typeface="Calibri"/>
              <a:cs typeface="Calibri"/>
            </a:defRPr>
          </a:pPr>
          <a:endParaRPr lang="nl-NL"/>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nl-NL"/>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lang val="nl-NL"/>
  <c:chart>
    <c:plotArea>
      <c:layout>
        <c:manualLayout>
          <c:layoutTarget val="inner"/>
          <c:xMode val="edge"/>
          <c:yMode val="edge"/>
          <c:x val="5.6956990242500533E-2"/>
          <c:y val="0.15940407162571726"/>
          <c:w val="0.8348586984138181"/>
          <c:h val="0.68672168231223363"/>
        </c:manualLayout>
      </c:layout>
      <c:lineChart>
        <c:grouping val="standard"/>
        <c:ser>
          <c:idx val="0"/>
          <c:order val="0"/>
          <c:tx>
            <c:v>2010</c:v>
          </c:tx>
          <c:spPr>
            <a:ln w="19050"/>
          </c:spPr>
          <c:cat>
            <c:strRef>
              <c:f>tr.mnd.Ned!$B$10:$M$10</c:f>
              <c:strCache>
                <c:ptCount val="12"/>
                <c:pt idx="0">
                  <c:v>jan</c:v>
                </c:pt>
                <c:pt idx="1">
                  <c:v>febr</c:v>
                </c:pt>
                <c:pt idx="2">
                  <c:v>mrt</c:v>
                </c:pt>
                <c:pt idx="3">
                  <c:v>april</c:v>
                </c:pt>
                <c:pt idx="4">
                  <c:v>mei</c:v>
                </c:pt>
                <c:pt idx="5">
                  <c:v>juni</c:v>
                </c:pt>
                <c:pt idx="6">
                  <c:v>juli</c:v>
                </c:pt>
                <c:pt idx="7">
                  <c:v>aug</c:v>
                </c:pt>
                <c:pt idx="8">
                  <c:v>sept</c:v>
                </c:pt>
                <c:pt idx="9">
                  <c:v>okt</c:v>
                </c:pt>
                <c:pt idx="10">
                  <c:v>nov</c:v>
                </c:pt>
                <c:pt idx="11">
                  <c:v>dec</c:v>
                </c:pt>
              </c:strCache>
            </c:strRef>
          </c:cat>
          <c:val>
            <c:numRef>
              <c:f>tr.mnd.Ned!$B$20:$M$20</c:f>
              <c:numCache>
                <c:formatCode>General</c:formatCode>
                <c:ptCount val="12"/>
                <c:pt idx="0">
                  <c:v>88.6</c:v>
                </c:pt>
                <c:pt idx="1">
                  <c:v>98.8</c:v>
                </c:pt>
                <c:pt idx="2">
                  <c:v>115.9</c:v>
                </c:pt>
                <c:pt idx="3">
                  <c:v>109.9</c:v>
                </c:pt>
                <c:pt idx="4">
                  <c:v>96.3</c:v>
                </c:pt>
                <c:pt idx="5">
                  <c:v>110.2</c:v>
                </c:pt>
                <c:pt idx="6">
                  <c:v>92.5</c:v>
                </c:pt>
                <c:pt idx="7">
                  <c:v>108.8</c:v>
                </c:pt>
                <c:pt idx="8">
                  <c:v>93.5</c:v>
                </c:pt>
                <c:pt idx="9">
                  <c:v>87.4</c:v>
                </c:pt>
                <c:pt idx="10">
                  <c:v>101.1</c:v>
                </c:pt>
                <c:pt idx="11">
                  <c:v>91</c:v>
                </c:pt>
              </c:numCache>
            </c:numRef>
          </c:val>
        </c:ser>
        <c:ser>
          <c:idx val="1"/>
          <c:order val="1"/>
          <c:tx>
            <c:v>2011</c:v>
          </c:tx>
          <c:spPr>
            <a:ln w="19050"/>
          </c:spPr>
          <c:cat>
            <c:strRef>
              <c:f>tr.mnd.Ned!$B$10:$M$10</c:f>
              <c:strCache>
                <c:ptCount val="12"/>
                <c:pt idx="0">
                  <c:v>jan</c:v>
                </c:pt>
                <c:pt idx="1">
                  <c:v>febr</c:v>
                </c:pt>
                <c:pt idx="2">
                  <c:v>mrt</c:v>
                </c:pt>
                <c:pt idx="3">
                  <c:v>april</c:v>
                </c:pt>
                <c:pt idx="4">
                  <c:v>mei</c:v>
                </c:pt>
                <c:pt idx="5">
                  <c:v>juni</c:v>
                </c:pt>
                <c:pt idx="6">
                  <c:v>juli</c:v>
                </c:pt>
                <c:pt idx="7">
                  <c:v>aug</c:v>
                </c:pt>
                <c:pt idx="8">
                  <c:v>sept</c:v>
                </c:pt>
                <c:pt idx="9">
                  <c:v>okt</c:v>
                </c:pt>
                <c:pt idx="10">
                  <c:v>nov</c:v>
                </c:pt>
                <c:pt idx="11">
                  <c:v>dec</c:v>
                </c:pt>
              </c:strCache>
            </c:strRef>
          </c:cat>
          <c:val>
            <c:numRef>
              <c:f>tr.mnd.Ned!$B$21:$M$21</c:f>
              <c:numCache>
                <c:formatCode>General</c:formatCode>
                <c:ptCount val="12"/>
                <c:pt idx="0">
                  <c:v>108.6</c:v>
                </c:pt>
                <c:pt idx="1">
                  <c:v>107.5</c:v>
                </c:pt>
                <c:pt idx="2">
                  <c:v>93.6</c:v>
                </c:pt>
                <c:pt idx="3">
                  <c:v>91</c:v>
                </c:pt>
                <c:pt idx="4">
                  <c:v>100.2</c:v>
                </c:pt>
                <c:pt idx="5">
                  <c:v>87.4</c:v>
                </c:pt>
                <c:pt idx="6">
                  <c:v>85.2</c:v>
                </c:pt>
                <c:pt idx="7">
                  <c:v>96.1</c:v>
                </c:pt>
                <c:pt idx="8">
                  <c:v>106</c:v>
                </c:pt>
                <c:pt idx="9">
                  <c:v>95</c:v>
                </c:pt>
                <c:pt idx="10">
                  <c:v>94.2</c:v>
                </c:pt>
                <c:pt idx="11">
                  <c:v>93.4</c:v>
                </c:pt>
              </c:numCache>
            </c:numRef>
          </c:val>
        </c:ser>
        <c:ser>
          <c:idx val="2"/>
          <c:order val="2"/>
          <c:tx>
            <c:v>100</c:v>
          </c:tx>
          <c:spPr>
            <a:ln w="22225">
              <a:solidFill>
                <a:srgbClr val="92D050"/>
              </a:solidFill>
              <a:prstDash val="dash"/>
            </a:ln>
          </c:spPr>
          <c:marker>
            <c:symbol val="none"/>
          </c:marker>
          <c:val>
            <c:numRef>
              <c:f>tr.mnd.Ned!$B$23:$M$23</c:f>
              <c:numCache>
                <c:formatCode>General</c:formatCode>
                <c:ptCount val="12"/>
                <c:pt idx="0">
                  <c:v>100</c:v>
                </c:pt>
                <c:pt idx="1">
                  <c:v>100</c:v>
                </c:pt>
                <c:pt idx="2">
                  <c:v>100</c:v>
                </c:pt>
                <c:pt idx="3">
                  <c:v>100</c:v>
                </c:pt>
                <c:pt idx="4">
                  <c:v>100</c:v>
                </c:pt>
                <c:pt idx="5">
                  <c:v>100</c:v>
                </c:pt>
                <c:pt idx="6">
                  <c:v>100</c:v>
                </c:pt>
                <c:pt idx="7">
                  <c:v>100</c:v>
                </c:pt>
                <c:pt idx="8">
                  <c:v>100</c:v>
                </c:pt>
                <c:pt idx="9">
                  <c:v>100</c:v>
                </c:pt>
                <c:pt idx="10">
                  <c:v>100</c:v>
                </c:pt>
                <c:pt idx="11">
                  <c:v>100</c:v>
                </c:pt>
              </c:numCache>
            </c:numRef>
          </c:val>
        </c:ser>
        <c:marker val="1"/>
        <c:axId val="86220160"/>
        <c:axId val="87946368"/>
      </c:lineChart>
      <c:catAx>
        <c:axId val="86220160"/>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nl-NL"/>
          </a:p>
        </c:txPr>
        <c:crossAx val="87946368"/>
        <c:crosses val="autoZero"/>
        <c:auto val="1"/>
        <c:lblAlgn val="ctr"/>
        <c:lblOffset val="100"/>
      </c:catAx>
      <c:valAx>
        <c:axId val="87946368"/>
        <c:scaling>
          <c:orientation val="minMax"/>
          <c:max val="140"/>
          <c:min val="60"/>
        </c:scaling>
        <c:axPos val="l"/>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nl-NL"/>
          </a:p>
        </c:txPr>
        <c:crossAx val="86220160"/>
        <c:crosses val="autoZero"/>
        <c:crossBetween val="between"/>
      </c:valAx>
    </c:plotArea>
    <c:legend>
      <c:legendPos val="r"/>
      <c:layout/>
      <c:txPr>
        <a:bodyPr/>
        <a:lstStyle/>
        <a:p>
          <a:pPr>
            <a:defRPr sz="920" b="0" i="0" u="none" strike="noStrike" baseline="0">
              <a:solidFill>
                <a:srgbClr val="000000"/>
              </a:solidFill>
              <a:latin typeface="Calibri"/>
              <a:ea typeface="Calibri"/>
              <a:cs typeface="Calibri"/>
            </a:defRPr>
          </a:pPr>
          <a:endParaRPr lang="nl-NL"/>
        </a:p>
      </c:txPr>
    </c:legend>
    <c:plotVisOnly val="1"/>
    <c:dispBlanksAs val="gap"/>
  </c:chart>
  <c:spPr>
    <a:ln>
      <a:noFill/>
    </a:ln>
  </c:spPr>
  <c:txPr>
    <a:bodyPr/>
    <a:lstStyle/>
    <a:p>
      <a:pPr>
        <a:defRPr sz="1000" b="0" i="0" u="none" strike="noStrike" baseline="0">
          <a:solidFill>
            <a:srgbClr val="000000"/>
          </a:solidFill>
          <a:latin typeface="Calibri"/>
          <a:ea typeface="Calibri"/>
          <a:cs typeface="Calibri"/>
        </a:defRPr>
      </a:pPr>
      <a:endParaRPr lang="nl-NL"/>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lang val="nl-NL"/>
  <c:chart>
    <c:plotArea>
      <c:layout>
        <c:manualLayout>
          <c:layoutTarget val="inner"/>
          <c:xMode val="edge"/>
          <c:yMode val="edge"/>
          <c:x val="9.4734288648701523E-2"/>
          <c:y val="0.13904435980224203"/>
          <c:w val="0.77837505094472093"/>
          <c:h val="0.72632072867923125"/>
        </c:manualLayout>
      </c:layout>
      <c:lineChart>
        <c:grouping val="standard"/>
        <c:ser>
          <c:idx val="0"/>
          <c:order val="0"/>
          <c:tx>
            <c:strRef>
              <c:f>Blad1!$C$103</c:f>
              <c:strCache>
                <c:ptCount val="1"/>
                <c:pt idx="0">
                  <c:v>Nederland</c:v>
                </c:pt>
              </c:strCache>
            </c:strRef>
          </c:tx>
          <c:cat>
            <c:numRef>
              <c:f>Blad1!$A$104:$A$122</c:f>
              <c:numCache>
                <c:formatCode>General</c:formatCode>
                <c:ptCount val="19"/>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numCache>
            </c:numRef>
          </c:cat>
          <c:val>
            <c:numRef>
              <c:f>Blad1!$C$104:$C$122</c:f>
              <c:numCache>
                <c:formatCode>General</c:formatCode>
                <c:ptCount val="19"/>
                <c:pt idx="0">
                  <c:v>81037</c:v>
                </c:pt>
                <c:pt idx="1">
                  <c:v>88846</c:v>
                </c:pt>
                <c:pt idx="2">
                  <c:v>93750</c:v>
                </c:pt>
                <c:pt idx="3">
                  <c:v>102607</c:v>
                </c:pt>
                <c:pt idx="4">
                  <c:v>113163</c:v>
                </c:pt>
                <c:pt idx="5">
                  <c:v>124536</c:v>
                </c:pt>
                <c:pt idx="6">
                  <c:v>144778</c:v>
                </c:pt>
                <c:pt idx="7">
                  <c:v>172050</c:v>
                </c:pt>
                <c:pt idx="8">
                  <c:v>183397</c:v>
                </c:pt>
                <c:pt idx="9">
                  <c:v>199752</c:v>
                </c:pt>
                <c:pt idx="10">
                  <c:v>204829</c:v>
                </c:pt>
                <c:pt idx="11">
                  <c:v>212723</c:v>
                </c:pt>
                <c:pt idx="12">
                  <c:v>222700</c:v>
                </c:pt>
                <c:pt idx="13">
                  <c:v>235800</c:v>
                </c:pt>
                <c:pt idx="14">
                  <c:v>248300</c:v>
                </c:pt>
                <c:pt idx="15">
                  <c:v>253500</c:v>
                </c:pt>
                <c:pt idx="16">
                  <c:v>238300</c:v>
                </c:pt>
                <c:pt idx="17">
                  <c:v>239500</c:v>
                </c:pt>
                <c:pt idx="18" formatCode="#,##0">
                  <c:v>240100</c:v>
                </c:pt>
              </c:numCache>
            </c:numRef>
          </c:val>
        </c:ser>
        <c:ser>
          <c:idx val="1"/>
          <c:order val="1"/>
          <c:tx>
            <c:strRef>
              <c:f>Blad1!$I$103</c:f>
              <c:strCache>
                <c:ptCount val="1"/>
                <c:pt idx="0">
                  <c:v>na inflatie</c:v>
                </c:pt>
              </c:strCache>
            </c:strRef>
          </c:tx>
          <c:cat>
            <c:numRef>
              <c:f>Blad1!$A$104:$A$122</c:f>
              <c:numCache>
                <c:formatCode>General</c:formatCode>
                <c:ptCount val="19"/>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numCache>
            </c:numRef>
          </c:cat>
          <c:val>
            <c:numRef>
              <c:f>Blad1!$L$104:$L$122</c:f>
              <c:numCache>
                <c:formatCode>0</c:formatCode>
                <c:ptCount val="19"/>
                <c:pt idx="0">
                  <c:v>79335.222999999998</c:v>
                </c:pt>
                <c:pt idx="1">
                  <c:v>82906.378362000003</c:v>
                </c:pt>
                <c:pt idx="2">
                  <c:v>87517.093125000014</c:v>
                </c:pt>
                <c:pt idx="3">
                  <c:v>93773.751257781987</c:v>
                </c:pt>
                <c:pt idx="4">
                  <c:v>101145.74244725531</c:v>
                </c:pt>
                <c:pt idx="5">
                  <c:v>109084.77556960452</c:v>
                </c:pt>
                <c:pt idx="6">
                  <c:v>124025.4060945674</c:v>
                </c:pt>
                <c:pt idx="7">
                  <c:v>143556.12226641821</c:v>
                </c:pt>
                <c:pt idx="8">
                  <c:v>146137.82538974751</c:v>
                </c:pt>
                <c:pt idx="9">
                  <c:v>153758.33802486543</c:v>
                </c:pt>
                <c:pt idx="10">
                  <c:v>154355.34623077593</c:v>
                </c:pt>
                <c:pt idx="11">
                  <c:v>158380.46921312099</c:v>
                </c:pt>
                <c:pt idx="12">
                  <c:v>162989.98169153358</c:v>
                </c:pt>
                <c:pt idx="13">
                  <c:v>170679.27376898119</c:v>
                </c:pt>
                <c:pt idx="14">
                  <c:v>176851.52272268294</c:v>
                </c:pt>
                <c:pt idx="15">
                  <c:v>176041.33904528836</c:v>
                </c:pt>
                <c:pt idx="16">
                  <c:v>163499.97349648245</c:v>
                </c:pt>
                <c:pt idx="17">
                  <c:v>162187.1023286877</c:v>
                </c:pt>
                <c:pt idx="18">
                  <c:v>158853.76799134939</c:v>
                </c:pt>
              </c:numCache>
            </c:numRef>
          </c:val>
        </c:ser>
        <c:ser>
          <c:idx val="2"/>
          <c:order val="2"/>
          <c:tx>
            <c:strRef>
              <c:f>Blad1!$M$103</c:f>
              <c:strCache>
                <c:ptCount val="1"/>
                <c:pt idx="0">
                  <c:v>na I + kw</c:v>
                </c:pt>
              </c:strCache>
            </c:strRef>
          </c:tx>
          <c:val>
            <c:numRef>
              <c:f>Blad1!$M$104:$M$122</c:f>
              <c:numCache>
                <c:formatCode>0</c:formatCode>
                <c:ptCount val="19"/>
                <c:pt idx="0">
                  <c:v>78524.853000000003</c:v>
                </c:pt>
                <c:pt idx="1">
                  <c:v>82906.378362000018</c:v>
                </c:pt>
                <c:pt idx="2">
                  <c:v>84858.055312500015</c:v>
                </c:pt>
                <c:pt idx="3">
                  <c:v>89995.867056263945</c:v>
                </c:pt>
                <c:pt idx="4">
                  <c:v>96078.316586295114</c:v>
                </c:pt>
                <c:pt idx="5">
                  <c:v>102562.25937240195</c:v>
                </c:pt>
                <c:pt idx="6">
                  <c:v>115417.21675836899</c:v>
                </c:pt>
                <c:pt idx="7">
                  <c:v>132220.78621143685</c:v>
                </c:pt>
                <c:pt idx="8">
                  <c:v>133189.22565959801</c:v>
                </c:pt>
                <c:pt idx="9">
                  <c:v>138683.85185680224</c:v>
                </c:pt>
                <c:pt idx="10">
                  <c:v>137800.24218293518</c:v>
                </c:pt>
                <c:pt idx="11">
                  <c:v>139962.5479677543</c:v>
                </c:pt>
                <c:pt idx="12">
                  <c:v>142570.75458574563</c:v>
                </c:pt>
                <c:pt idx="13">
                  <c:v>147787.16690058881</c:v>
                </c:pt>
                <c:pt idx="14">
                  <c:v>151575.35686742736</c:v>
                </c:pt>
                <c:pt idx="15">
                  <c:v>149333.47004465005</c:v>
                </c:pt>
                <c:pt idx="16">
                  <c:v>137291.00694904933</c:v>
                </c:pt>
                <c:pt idx="17">
                  <c:v>134808.76480284712</c:v>
                </c:pt>
                <c:pt idx="18">
                  <c:v>130686.65612944137</c:v>
                </c:pt>
              </c:numCache>
            </c:numRef>
          </c:val>
        </c:ser>
        <c:marker val="1"/>
        <c:axId val="89237376"/>
        <c:axId val="89238912"/>
      </c:lineChart>
      <c:catAx>
        <c:axId val="89237376"/>
        <c:scaling>
          <c:orientation val="minMax"/>
        </c:scaling>
        <c:axPos val="b"/>
        <c:numFmt formatCode="General" sourceLinked="1"/>
        <c:tickLblPos val="nextTo"/>
        <c:crossAx val="89238912"/>
        <c:crosses val="autoZero"/>
        <c:auto val="1"/>
        <c:lblAlgn val="ctr"/>
        <c:lblOffset val="100"/>
      </c:catAx>
      <c:valAx>
        <c:axId val="89238912"/>
        <c:scaling>
          <c:orientation val="minMax"/>
        </c:scaling>
        <c:axPos val="l"/>
        <c:majorGridlines/>
        <c:numFmt formatCode="General" sourceLinked="1"/>
        <c:tickLblPos val="nextTo"/>
        <c:crossAx val="89237376"/>
        <c:crosses val="autoZero"/>
        <c:crossBetween val="between"/>
      </c:valAx>
    </c:plotArea>
    <c:legend>
      <c:legendPos val="r"/>
      <c:layout>
        <c:manualLayout>
          <c:xMode val="edge"/>
          <c:yMode val="edge"/>
          <c:x val="0.77558195576430145"/>
          <c:y val="0.67644657699037636"/>
          <c:w val="0.19515909195561085"/>
          <c:h val="0.1851916557305337"/>
        </c:manualLayout>
      </c:layout>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0.07926</cdr:x>
      <cdr:y>0.95613</cdr:y>
    </cdr:from>
    <cdr:to>
      <cdr:x>0.39713</cdr:x>
      <cdr:y>1</cdr:y>
    </cdr:to>
    <cdr:sp macro="" textlink="">
      <cdr:nvSpPr>
        <cdr:cNvPr id="2" name="Tekstvak 1"/>
        <cdr:cNvSpPr txBox="1"/>
      </cdr:nvSpPr>
      <cdr:spPr>
        <a:xfrm xmlns:a="http://schemas.openxmlformats.org/drawingml/2006/main">
          <a:off x="739959" y="5833079"/>
          <a:ext cx="2967706" cy="26764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nl-NL"/>
        </a:p>
      </cdr:txBody>
    </cdr:sp>
  </cdr:relSizeAnchor>
  <cdr:relSizeAnchor xmlns:cdr="http://schemas.openxmlformats.org/drawingml/2006/chartDrawing">
    <cdr:from>
      <cdr:x>0.0801</cdr:x>
      <cdr:y>0.90674</cdr:y>
    </cdr:from>
    <cdr:to>
      <cdr:x>0.40894</cdr:x>
      <cdr:y>0.97801</cdr:y>
    </cdr:to>
    <cdr:sp macro="" textlink="">
      <cdr:nvSpPr>
        <cdr:cNvPr id="3" name="Tekstvak 2"/>
        <cdr:cNvSpPr txBox="1"/>
      </cdr:nvSpPr>
      <cdr:spPr>
        <a:xfrm xmlns:a="http://schemas.openxmlformats.org/drawingml/2006/main">
          <a:off x="745297" y="5510330"/>
          <a:ext cx="3059721" cy="4331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nl-NL" sz="1100"/>
            <a:t>© Woningmarktcijfers.nl </a:t>
          </a:r>
        </a:p>
      </cdr:txBody>
    </cdr:sp>
  </cdr:relSizeAnchor>
</c:userShapes>
</file>

<file path=word/drawings/drawing2.xml><?xml version="1.0" encoding="utf-8"?>
<c:userShapes xmlns:c="http://schemas.openxmlformats.org/drawingml/2006/chart">
  <cdr:relSizeAnchor xmlns:cdr="http://schemas.openxmlformats.org/drawingml/2006/chartDrawing">
    <cdr:from>
      <cdr:x>0.07736</cdr:x>
      <cdr:y>0.04688</cdr:y>
    </cdr:from>
    <cdr:to>
      <cdr:x>0.53208</cdr:x>
      <cdr:y>0.11563</cdr:y>
    </cdr:to>
    <cdr:sp macro="" textlink="">
      <cdr:nvSpPr>
        <cdr:cNvPr id="2" name="Tekstvak 1"/>
        <cdr:cNvSpPr txBox="1"/>
      </cdr:nvSpPr>
      <cdr:spPr>
        <a:xfrm xmlns:a="http://schemas.openxmlformats.org/drawingml/2006/main">
          <a:off x="520701" y="190500"/>
          <a:ext cx="3060700" cy="279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nl-NL" sz="1400" b="1"/>
            <a:t>Prijsontwikkeling</a:t>
          </a:r>
          <a:r>
            <a:rPr lang="nl-NL" sz="1400" b="1" baseline="0"/>
            <a:t> Nederland per woningtype 2005 - 2011</a:t>
          </a:r>
          <a:endParaRPr lang="nl-NL" sz="1400" b="1"/>
        </a:p>
      </cdr:txBody>
    </cdr:sp>
  </cdr:relSizeAnchor>
  <cdr:relSizeAnchor xmlns:cdr="http://schemas.openxmlformats.org/drawingml/2006/chartDrawing">
    <cdr:from>
      <cdr:x>0.5878</cdr:x>
      <cdr:y>0.91646</cdr:y>
    </cdr:from>
    <cdr:to>
      <cdr:x>0.97928</cdr:x>
      <cdr:y>0.9858</cdr:y>
    </cdr:to>
    <cdr:sp macro="" textlink="">
      <cdr:nvSpPr>
        <cdr:cNvPr id="3" name="Tekstvak 1"/>
        <cdr:cNvSpPr txBox="1"/>
      </cdr:nvSpPr>
      <cdr:spPr>
        <a:xfrm xmlns:a="http://schemas.openxmlformats.org/drawingml/2006/main">
          <a:off x="4038601" y="4597422"/>
          <a:ext cx="2689739" cy="34784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nl-NL" sz="1100"/>
            <a:t>© Woningmarktcijfers.nl, bron: het kadaster</a:t>
          </a:r>
        </a:p>
      </cdr:txBody>
    </cdr:sp>
  </cdr:relSizeAnchor>
</c:userShapes>
</file>

<file path=word/drawings/drawing3.xml><?xml version="1.0" encoding="utf-8"?>
<c:userShapes xmlns:c="http://schemas.openxmlformats.org/drawingml/2006/chart">
  <cdr:relSizeAnchor xmlns:cdr="http://schemas.openxmlformats.org/drawingml/2006/chartDrawing">
    <cdr:from>
      <cdr:x>0.07736</cdr:x>
      <cdr:y>0.04688</cdr:y>
    </cdr:from>
    <cdr:to>
      <cdr:x>0.53208</cdr:x>
      <cdr:y>0.11563</cdr:y>
    </cdr:to>
    <cdr:sp macro="" textlink="">
      <cdr:nvSpPr>
        <cdr:cNvPr id="2" name="Tekstvak 1"/>
        <cdr:cNvSpPr txBox="1"/>
      </cdr:nvSpPr>
      <cdr:spPr>
        <a:xfrm xmlns:a="http://schemas.openxmlformats.org/drawingml/2006/main">
          <a:off x="520701" y="190500"/>
          <a:ext cx="3060700" cy="279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nl-NL" sz="1400" b="1"/>
            <a:t>Aantal</a:t>
          </a:r>
          <a:r>
            <a:rPr lang="nl-NL" sz="1400" b="1" baseline="0"/>
            <a:t> t</a:t>
          </a:r>
          <a:r>
            <a:rPr lang="nl-NL" sz="1400" b="1"/>
            <a:t>ransacties</a:t>
          </a:r>
          <a:r>
            <a:rPr lang="nl-NL" sz="1400" b="1" baseline="0"/>
            <a:t> Nederland per woningtype 2005 - 2011</a:t>
          </a:r>
          <a:endParaRPr lang="nl-NL" sz="1400" b="1"/>
        </a:p>
      </cdr:txBody>
    </cdr:sp>
  </cdr:relSizeAnchor>
  <cdr:relSizeAnchor xmlns:cdr="http://schemas.openxmlformats.org/drawingml/2006/chartDrawing">
    <cdr:from>
      <cdr:x>0.52294</cdr:x>
      <cdr:y>0.91646</cdr:y>
    </cdr:from>
    <cdr:to>
      <cdr:x>0.97928</cdr:x>
      <cdr:y>0.9858</cdr:y>
    </cdr:to>
    <cdr:sp macro="" textlink="">
      <cdr:nvSpPr>
        <cdr:cNvPr id="3" name="Tekstvak 1"/>
        <cdr:cNvSpPr txBox="1"/>
      </cdr:nvSpPr>
      <cdr:spPr>
        <a:xfrm xmlns:a="http://schemas.openxmlformats.org/drawingml/2006/main">
          <a:off x="3619500" y="4632339"/>
          <a:ext cx="3158587" cy="35048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nl-NL" sz="1100"/>
            <a:t>© Woningmarktcijfers.nl, bron: het Kadaster</a:t>
          </a:r>
        </a:p>
      </cdr:txBody>
    </cdr:sp>
  </cdr:relSizeAnchor>
</c:userShapes>
</file>

<file path=word/drawings/drawing4.xml><?xml version="1.0" encoding="utf-8"?>
<c:userShapes xmlns:c="http://schemas.openxmlformats.org/drawingml/2006/chart">
  <cdr:relSizeAnchor xmlns:cdr="http://schemas.openxmlformats.org/drawingml/2006/chartDrawing">
    <cdr:from>
      <cdr:x>0.06633</cdr:x>
      <cdr:y>0.95188</cdr:y>
    </cdr:from>
    <cdr:to>
      <cdr:x>0.36634</cdr:x>
      <cdr:y>0.99884</cdr:y>
    </cdr:to>
    <cdr:sp macro="" textlink="">
      <cdr:nvSpPr>
        <cdr:cNvPr id="2" name="Tekstvak 1"/>
        <cdr:cNvSpPr txBox="1"/>
      </cdr:nvSpPr>
      <cdr:spPr>
        <a:xfrm xmlns:a="http://schemas.openxmlformats.org/drawingml/2006/main">
          <a:off x="626120" y="5785555"/>
          <a:ext cx="2789860" cy="28222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nl-NL" sz="1000" i="0"/>
            <a:t>© Woningmarktcijfers.nl</a:t>
          </a:r>
        </a:p>
      </cdr:txBody>
    </cdr:sp>
  </cdr:relSizeAnchor>
  <cdr:relSizeAnchor xmlns:cdr="http://schemas.openxmlformats.org/drawingml/2006/chartDrawing">
    <cdr:from>
      <cdr:x>0.20568</cdr:x>
      <cdr:y>0.05148</cdr:y>
    </cdr:from>
    <cdr:to>
      <cdr:x>0.76958</cdr:x>
      <cdr:y>0.12077</cdr:y>
    </cdr:to>
    <cdr:sp macro="" textlink="">
      <cdr:nvSpPr>
        <cdr:cNvPr id="3" name="Tekstvak 2"/>
        <cdr:cNvSpPr txBox="1"/>
      </cdr:nvSpPr>
      <cdr:spPr>
        <a:xfrm xmlns:a="http://schemas.openxmlformats.org/drawingml/2006/main" flipV="1">
          <a:off x="1912055" y="310444"/>
          <a:ext cx="5242277" cy="41627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nl-NL"/>
        </a:p>
      </cdr:txBody>
    </cdr:sp>
  </cdr:relSizeAnchor>
  <cdr:relSizeAnchor xmlns:cdr="http://schemas.openxmlformats.org/drawingml/2006/chartDrawing">
    <cdr:from>
      <cdr:x>0.0718</cdr:x>
      <cdr:y>0.06539</cdr:y>
    </cdr:from>
    <cdr:to>
      <cdr:x>0.95575</cdr:x>
      <cdr:y>0.12883</cdr:y>
    </cdr:to>
    <cdr:sp macro="" textlink="">
      <cdr:nvSpPr>
        <cdr:cNvPr id="4" name="Tekstvak 3"/>
        <cdr:cNvSpPr txBox="1"/>
      </cdr:nvSpPr>
      <cdr:spPr>
        <a:xfrm xmlns:a="http://schemas.openxmlformats.org/drawingml/2006/main">
          <a:off x="667481" y="388029"/>
          <a:ext cx="8217579" cy="376458"/>
        </a:xfrm>
        <a:prstGeom xmlns:a="http://schemas.openxmlformats.org/drawingml/2006/main" prst="rect">
          <a:avLst/>
        </a:prstGeom>
        <a:ln xmlns:a="http://schemas.openxmlformats.org/drawingml/2006/main">
          <a:solidFill>
            <a:schemeClr val="tx1"/>
          </a:solidFill>
        </a:ln>
      </cdr:spPr>
      <cdr:txBody>
        <a:bodyPr xmlns:a="http://schemas.openxmlformats.org/drawingml/2006/main" vertOverflow="clip" wrap="none" rtlCol="0"/>
        <a:lstStyle xmlns:a="http://schemas.openxmlformats.org/drawingml/2006/main"/>
        <a:p xmlns:a="http://schemas.openxmlformats.org/drawingml/2006/main">
          <a:r>
            <a:rPr lang="nl-NL" sz="1100"/>
            <a:t>Gemiddelde koopsom Nederland per maand 2010-2011, absoluut, 6 mnd-V en PBK index</a:t>
          </a:r>
        </a:p>
      </cdr:txBody>
    </cdr:sp>
  </cdr:relSizeAnchor>
</c:userShapes>
</file>

<file path=word/drawings/drawing5.xml><?xml version="1.0" encoding="utf-8"?>
<c:userShapes xmlns:c="http://schemas.openxmlformats.org/drawingml/2006/chart">
  <cdr:relSizeAnchor xmlns:cdr="http://schemas.openxmlformats.org/drawingml/2006/chartDrawing">
    <cdr:from>
      <cdr:x>0.155</cdr:x>
      <cdr:y>0.01266</cdr:y>
    </cdr:from>
    <cdr:to>
      <cdr:x>0.58916</cdr:x>
      <cdr:y>0.09494</cdr:y>
    </cdr:to>
    <cdr:sp macro="" textlink="">
      <cdr:nvSpPr>
        <cdr:cNvPr id="2" name="Tekstvak 1"/>
        <cdr:cNvSpPr txBox="1"/>
      </cdr:nvSpPr>
      <cdr:spPr>
        <a:xfrm xmlns:a="http://schemas.openxmlformats.org/drawingml/2006/main">
          <a:off x="1962151" y="38100"/>
          <a:ext cx="5495924" cy="24764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nl-NL" sz="1400"/>
        </a:p>
      </cdr:txBody>
    </cdr:sp>
  </cdr:relSizeAnchor>
  <cdr:relSizeAnchor xmlns:cdr="http://schemas.openxmlformats.org/drawingml/2006/chartDrawing">
    <cdr:from>
      <cdr:x>0.12491</cdr:x>
      <cdr:y>0.07278</cdr:y>
    </cdr:from>
    <cdr:to>
      <cdr:x>0.62378</cdr:x>
      <cdr:y>0.14557</cdr:y>
    </cdr:to>
    <cdr:sp macro="" textlink="">
      <cdr:nvSpPr>
        <cdr:cNvPr id="3" name="Tekstvak 2"/>
        <cdr:cNvSpPr txBox="1"/>
      </cdr:nvSpPr>
      <cdr:spPr>
        <a:xfrm xmlns:a="http://schemas.openxmlformats.org/drawingml/2006/main">
          <a:off x="1581149" y="219075"/>
          <a:ext cx="6315075" cy="2190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nl-NL"/>
        </a:p>
      </cdr:txBody>
    </cdr:sp>
  </cdr:relSizeAnchor>
  <cdr:relSizeAnchor xmlns:cdr="http://schemas.openxmlformats.org/drawingml/2006/chartDrawing">
    <cdr:from>
      <cdr:x>0.03988</cdr:x>
      <cdr:y>0</cdr:y>
    </cdr:from>
    <cdr:to>
      <cdr:x>1</cdr:x>
      <cdr:y>0.12321</cdr:y>
    </cdr:to>
    <cdr:sp macro="" textlink="">
      <cdr:nvSpPr>
        <cdr:cNvPr id="4" name="Tekstvak 3"/>
        <cdr:cNvSpPr txBox="1"/>
      </cdr:nvSpPr>
      <cdr:spPr>
        <a:xfrm xmlns:a="http://schemas.openxmlformats.org/drawingml/2006/main">
          <a:off x="229737" y="0"/>
          <a:ext cx="5530983" cy="28856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nl-NL" sz="1100"/>
            <a:t>Transactieontwikkeling  koopwoningen tov dezelfde maand voorgaand jaar - Nederland </a:t>
          </a:r>
          <a:r>
            <a:rPr lang="nl-NL" sz="1000"/>
            <a:t>2010-2011</a:t>
          </a:r>
        </a:p>
      </cdr:txBody>
    </cdr:sp>
  </cdr:relSizeAnchor>
  <cdr:relSizeAnchor xmlns:cdr="http://schemas.openxmlformats.org/drawingml/2006/chartDrawing">
    <cdr:from>
      <cdr:x>0.07223</cdr:x>
      <cdr:y>0.75385</cdr:y>
    </cdr:from>
    <cdr:to>
      <cdr:x>0.14447</cdr:x>
      <cdr:y>1</cdr:y>
    </cdr:to>
    <cdr:sp macro="" textlink="">
      <cdr:nvSpPr>
        <cdr:cNvPr id="5" name="Tekstvak 4"/>
        <cdr:cNvSpPr txBox="1"/>
      </cdr:nvSpPr>
      <cdr:spPr>
        <a:xfrm xmlns:a="http://schemas.openxmlformats.org/drawingml/2006/main">
          <a:off x="914400" y="3514726"/>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nl-NL"/>
        </a:p>
      </cdr:txBody>
    </cdr:sp>
  </cdr:relSizeAnchor>
  <cdr:relSizeAnchor xmlns:cdr="http://schemas.openxmlformats.org/drawingml/2006/chartDrawing">
    <cdr:from>
      <cdr:x>0.04522</cdr:x>
      <cdr:y>0.93077</cdr:y>
    </cdr:from>
    <cdr:to>
      <cdr:x>0.2559</cdr:x>
      <cdr:y>1</cdr:y>
    </cdr:to>
    <cdr:sp macro="" textlink="">
      <cdr:nvSpPr>
        <cdr:cNvPr id="6" name="Tekstvak 5"/>
        <cdr:cNvSpPr txBox="1"/>
      </cdr:nvSpPr>
      <cdr:spPr>
        <a:xfrm xmlns:a="http://schemas.openxmlformats.org/drawingml/2006/main">
          <a:off x="352783" y="3037961"/>
          <a:ext cx="1643511" cy="21958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nl-NL" sz="1100"/>
            <a:t>©</a:t>
          </a:r>
          <a:r>
            <a:rPr lang="nl-NL" sz="1000"/>
            <a:t>Woningmarktcijfers.nl - Bron: het Kadaster</a:t>
          </a:r>
        </a:p>
      </cdr:txBody>
    </cdr:sp>
  </cdr:relSizeAnchor>
  <cdr:relSizeAnchor xmlns:cdr="http://schemas.openxmlformats.org/drawingml/2006/chartDrawing">
    <cdr:from>
      <cdr:x>0.155</cdr:x>
      <cdr:y>0.01266</cdr:y>
    </cdr:from>
    <cdr:to>
      <cdr:x>0.58916</cdr:x>
      <cdr:y>0.09494</cdr:y>
    </cdr:to>
    <cdr:sp macro="" textlink="">
      <cdr:nvSpPr>
        <cdr:cNvPr id="7" name="Tekstvak 1"/>
        <cdr:cNvSpPr txBox="1"/>
      </cdr:nvSpPr>
      <cdr:spPr>
        <a:xfrm xmlns:a="http://schemas.openxmlformats.org/drawingml/2006/main">
          <a:off x="1962151" y="38100"/>
          <a:ext cx="5495924" cy="24764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nl-NL"/>
        </a:p>
      </cdr:txBody>
    </cdr:sp>
  </cdr:relSizeAnchor>
  <cdr:relSizeAnchor xmlns:cdr="http://schemas.openxmlformats.org/drawingml/2006/chartDrawing">
    <cdr:from>
      <cdr:x>0.12491</cdr:x>
      <cdr:y>0.07278</cdr:y>
    </cdr:from>
    <cdr:to>
      <cdr:x>0.62378</cdr:x>
      <cdr:y>0.14557</cdr:y>
    </cdr:to>
    <cdr:sp macro="" textlink="">
      <cdr:nvSpPr>
        <cdr:cNvPr id="8" name="Tekstvak 2"/>
        <cdr:cNvSpPr txBox="1"/>
      </cdr:nvSpPr>
      <cdr:spPr>
        <a:xfrm xmlns:a="http://schemas.openxmlformats.org/drawingml/2006/main">
          <a:off x="1581149" y="219075"/>
          <a:ext cx="6315075" cy="2190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nl-NL"/>
        </a:p>
      </cdr:txBody>
    </cdr:sp>
  </cdr:relSizeAnchor>
  <cdr:relSizeAnchor xmlns:cdr="http://schemas.openxmlformats.org/drawingml/2006/chartDrawing">
    <cdr:from>
      <cdr:x>0.03988</cdr:x>
      <cdr:y>0</cdr:y>
    </cdr:from>
    <cdr:to>
      <cdr:x>1</cdr:x>
      <cdr:y>0.16268</cdr:y>
    </cdr:to>
    <cdr:sp macro="" textlink="">
      <cdr:nvSpPr>
        <cdr:cNvPr id="9" name="Tekstvak 3"/>
        <cdr:cNvSpPr txBox="1"/>
      </cdr:nvSpPr>
      <cdr:spPr>
        <a:xfrm xmlns:a="http://schemas.openxmlformats.org/drawingml/2006/main">
          <a:off x="229737" y="0"/>
          <a:ext cx="5530983" cy="3810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nl-NL" sz="1400"/>
        </a:p>
      </cdr:txBody>
    </cdr:sp>
  </cdr:relSizeAnchor>
  <cdr:relSizeAnchor xmlns:cdr="http://schemas.openxmlformats.org/drawingml/2006/chartDrawing">
    <cdr:from>
      <cdr:x>0.07223</cdr:x>
      <cdr:y>0.75385</cdr:y>
    </cdr:from>
    <cdr:to>
      <cdr:x>0.14447</cdr:x>
      <cdr:y>1</cdr:y>
    </cdr:to>
    <cdr:sp macro="" textlink="">
      <cdr:nvSpPr>
        <cdr:cNvPr id="10" name="Tekstvak 4"/>
        <cdr:cNvSpPr txBox="1"/>
      </cdr:nvSpPr>
      <cdr:spPr>
        <a:xfrm xmlns:a="http://schemas.openxmlformats.org/drawingml/2006/main">
          <a:off x="914400" y="3514726"/>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nl-NL"/>
        </a:p>
      </cdr:txBody>
    </cdr:sp>
  </cdr:relSizeAnchor>
</c:userShapes>
</file>

<file path=word/drawings/drawing6.xml><?xml version="1.0" encoding="utf-8"?>
<c:userShapes xmlns:c="http://schemas.openxmlformats.org/drawingml/2006/chart">
  <cdr:relSizeAnchor xmlns:cdr="http://schemas.openxmlformats.org/drawingml/2006/chartDrawing">
    <cdr:from>
      <cdr:x>0.09441</cdr:x>
      <cdr:y>0.05434</cdr:y>
    </cdr:from>
    <cdr:to>
      <cdr:x>0.92795</cdr:x>
      <cdr:y>0.13064</cdr:y>
    </cdr:to>
    <cdr:sp macro="" textlink="">
      <cdr:nvSpPr>
        <cdr:cNvPr id="2" name="Tekstvak 1"/>
        <cdr:cNvSpPr txBox="1"/>
      </cdr:nvSpPr>
      <cdr:spPr>
        <a:xfrm xmlns:a="http://schemas.openxmlformats.org/drawingml/2006/main">
          <a:off x="723899" y="237818"/>
          <a:ext cx="6391275" cy="33394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nl-NL" sz="1100"/>
        </a:p>
      </cdr:txBody>
    </cdr:sp>
  </cdr:relSizeAnchor>
  <cdr:relSizeAnchor xmlns:cdr="http://schemas.openxmlformats.org/drawingml/2006/chartDrawing">
    <cdr:from>
      <cdr:x>0.00621</cdr:x>
      <cdr:y>0.93471</cdr:y>
    </cdr:from>
    <cdr:to>
      <cdr:x>0.38385</cdr:x>
      <cdr:y>1</cdr:y>
    </cdr:to>
    <cdr:sp macro="" textlink="">
      <cdr:nvSpPr>
        <cdr:cNvPr id="3" name="Tekstvak 2"/>
        <cdr:cNvSpPr txBox="1"/>
      </cdr:nvSpPr>
      <cdr:spPr>
        <a:xfrm xmlns:a="http://schemas.openxmlformats.org/drawingml/2006/main">
          <a:off x="47626" y="4090988"/>
          <a:ext cx="2895599"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nl-NL" sz="1100"/>
        </a:p>
      </cdr:txBody>
    </cdr:sp>
  </cdr:relSizeAnchor>
  <cdr:relSizeAnchor xmlns:cdr="http://schemas.openxmlformats.org/drawingml/2006/chartDrawing">
    <cdr:from>
      <cdr:x>0.04472</cdr:x>
      <cdr:y>0.93689</cdr:y>
    </cdr:from>
    <cdr:to>
      <cdr:x>0.39006</cdr:x>
      <cdr:y>1</cdr:y>
    </cdr:to>
    <cdr:sp macro="" textlink="">
      <cdr:nvSpPr>
        <cdr:cNvPr id="4" name="Tekstvak 3"/>
        <cdr:cNvSpPr txBox="1"/>
      </cdr:nvSpPr>
      <cdr:spPr>
        <a:xfrm xmlns:a="http://schemas.openxmlformats.org/drawingml/2006/main">
          <a:off x="342900" y="4100512"/>
          <a:ext cx="2647950"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nl-NL" sz="1100"/>
        </a:p>
      </cdr:txBody>
    </cdr:sp>
  </cdr:relSizeAnchor>
  <cdr:relSizeAnchor xmlns:cdr="http://schemas.openxmlformats.org/drawingml/2006/chartDrawing">
    <cdr:from>
      <cdr:x>0.0472</cdr:x>
      <cdr:y>0.79108</cdr:y>
    </cdr:from>
    <cdr:to>
      <cdr:x>0.16646</cdr:x>
      <cdr:y>1</cdr:y>
    </cdr:to>
    <cdr:sp macro="" textlink="">
      <cdr:nvSpPr>
        <cdr:cNvPr id="5" name="Tekstvak 4"/>
        <cdr:cNvSpPr txBox="1"/>
      </cdr:nvSpPr>
      <cdr:spPr>
        <a:xfrm xmlns:a="http://schemas.openxmlformats.org/drawingml/2006/main">
          <a:off x="361950" y="432911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nl-NL" sz="1100"/>
        </a:p>
      </cdr:txBody>
    </cdr:sp>
  </cdr:relSizeAnchor>
  <cdr:relSizeAnchor xmlns:cdr="http://schemas.openxmlformats.org/drawingml/2006/chartDrawing">
    <cdr:from>
      <cdr:x>0.0472</cdr:x>
      <cdr:y>0.94124</cdr:y>
    </cdr:from>
    <cdr:to>
      <cdr:x>0.16646</cdr:x>
      <cdr:y>1</cdr:y>
    </cdr:to>
    <cdr:sp macro="" textlink="">
      <cdr:nvSpPr>
        <cdr:cNvPr id="6" name="Tekstvak 5"/>
        <cdr:cNvSpPr txBox="1"/>
      </cdr:nvSpPr>
      <cdr:spPr>
        <a:xfrm xmlns:a="http://schemas.openxmlformats.org/drawingml/2006/main">
          <a:off x="361950" y="4119562"/>
          <a:ext cx="914400" cy="257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nl-NL" sz="1100"/>
        </a:p>
      </cdr:txBody>
    </cdr:sp>
  </cdr:relSizeAnchor>
  <cdr:relSizeAnchor xmlns:cdr="http://schemas.openxmlformats.org/drawingml/2006/chartDrawing">
    <cdr:from>
      <cdr:x>0.07081</cdr:x>
      <cdr:y>0.89119</cdr:y>
    </cdr:from>
    <cdr:to>
      <cdr:x>0.19006</cdr:x>
      <cdr:y>1</cdr:y>
    </cdr:to>
    <cdr:sp macro="" textlink="">
      <cdr:nvSpPr>
        <cdr:cNvPr id="7" name="Tekstvak 6"/>
        <cdr:cNvSpPr txBox="1"/>
      </cdr:nvSpPr>
      <cdr:spPr>
        <a:xfrm xmlns:a="http://schemas.openxmlformats.org/drawingml/2006/main">
          <a:off x="542925" y="3900488"/>
          <a:ext cx="914400" cy="4762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nl-NL" sz="1100"/>
        </a:p>
      </cdr:txBody>
    </cdr:sp>
  </cdr:relSizeAnchor>
  <cdr:relSizeAnchor xmlns:cdr="http://schemas.openxmlformats.org/drawingml/2006/chartDrawing">
    <cdr:from>
      <cdr:x>0.04348</cdr:x>
      <cdr:y>0.79108</cdr:y>
    </cdr:from>
    <cdr:to>
      <cdr:x>0.16273</cdr:x>
      <cdr:y>1</cdr:y>
    </cdr:to>
    <cdr:sp macro="" textlink="">
      <cdr:nvSpPr>
        <cdr:cNvPr id="8" name="Tekstvak 7"/>
        <cdr:cNvSpPr txBox="1"/>
      </cdr:nvSpPr>
      <cdr:spPr>
        <a:xfrm xmlns:a="http://schemas.openxmlformats.org/drawingml/2006/main">
          <a:off x="333375" y="429101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nl-NL" sz="1100"/>
        </a:p>
      </cdr:txBody>
    </cdr:sp>
  </cdr:relSizeAnchor>
  <cdr:relSizeAnchor xmlns:cdr="http://schemas.openxmlformats.org/drawingml/2006/chartDrawing">
    <cdr:from>
      <cdr:x>0.03106</cdr:x>
      <cdr:y>0.9543</cdr:y>
    </cdr:from>
    <cdr:to>
      <cdr:x>0.38634</cdr:x>
      <cdr:y>1</cdr:y>
    </cdr:to>
    <cdr:sp macro="" textlink="">
      <cdr:nvSpPr>
        <cdr:cNvPr id="9" name="Tekstvak 8"/>
        <cdr:cNvSpPr txBox="1"/>
      </cdr:nvSpPr>
      <cdr:spPr>
        <a:xfrm xmlns:a="http://schemas.openxmlformats.org/drawingml/2006/main">
          <a:off x="238125" y="4176712"/>
          <a:ext cx="2724150" cy="2000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nl-NL" sz="900"/>
            <a:t>(c) Woningmarktcijfers.nl, bron: het Kadaster </a:t>
          </a:r>
        </a:p>
      </cdr:txBody>
    </cdr:sp>
  </cdr:relSizeAnchor>
  <cdr:relSizeAnchor xmlns:cdr="http://schemas.openxmlformats.org/drawingml/2006/chartDrawing">
    <cdr:from>
      <cdr:x>0.09565</cdr:x>
      <cdr:y>0.06311</cdr:y>
    </cdr:from>
    <cdr:to>
      <cdr:x>0.84596</cdr:x>
      <cdr:y>0.1284</cdr:y>
    </cdr:to>
    <cdr:sp macro="" textlink="">
      <cdr:nvSpPr>
        <cdr:cNvPr id="10" name="Tekstvak 9"/>
        <cdr:cNvSpPr txBox="1"/>
      </cdr:nvSpPr>
      <cdr:spPr>
        <a:xfrm xmlns:a="http://schemas.openxmlformats.org/drawingml/2006/main">
          <a:off x="733425" y="276225"/>
          <a:ext cx="5753100"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nl-NL" sz="1200"/>
            <a:t>Woningprijzen  Nederland 1993-2011 - absoluut + na inflatie + kwaliteit 1% pj</a:t>
          </a:r>
        </a:p>
      </cdr:txBody>
    </cdr:sp>
  </cdr:relSizeAnchor>
</c:userShape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1519</Words>
  <Characters>8360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van de Pas</dc:creator>
  <cp:lastModifiedBy>Leo van de Pas</cp:lastModifiedBy>
  <cp:revision>6</cp:revision>
  <cp:lastPrinted>2011-11-29T13:34:00Z</cp:lastPrinted>
  <dcterms:created xsi:type="dcterms:W3CDTF">2012-01-16T14:25:00Z</dcterms:created>
  <dcterms:modified xsi:type="dcterms:W3CDTF">2012-01-18T11:05:00Z</dcterms:modified>
</cp:coreProperties>
</file>